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E0607A" w:rsidRDefault="006816EC" w:rsidP="006816EC">
      <w:pPr>
        <w:suppressLineNumbers/>
        <w:rPr>
          <w:rFonts w:hint="cs"/>
          <w:sz w:val="28"/>
          <w:szCs w:val="28"/>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4C5CA7" w:rsidRPr="00E0607A" w:rsidTr="00E13236">
        <w:trPr>
          <w:jc w:val="center"/>
        </w:trPr>
        <w:tc>
          <w:tcPr>
            <w:tcW w:w="8820" w:type="dxa"/>
            <w:gridSpan w:val="2"/>
            <w:hideMark/>
          </w:tcPr>
          <w:p w:rsidR="004C5CA7" w:rsidRPr="00E0607A" w:rsidRDefault="004C5CA7" w:rsidP="004C5CA7">
            <w:pPr>
              <w:jc w:val="both"/>
              <w:rPr>
                <w:b/>
                <w:bCs/>
                <w:sz w:val="28"/>
                <w:szCs w:val="28"/>
              </w:rPr>
            </w:pPr>
            <w:r w:rsidRPr="00E0607A">
              <w:rPr>
                <w:rFonts w:hint="cs"/>
                <w:b/>
                <w:bCs/>
                <w:sz w:val="28"/>
                <w:szCs w:val="28"/>
                <w:rtl/>
              </w:rPr>
              <w:t xml:space="preserve">לפני </w:t>
            </w:r>
            <w:r w:rsidRPr="00E0607A">
              <w:rPr>
                <w:rFonts w:ascii="Arial" w:hAnsi="Arial" w:hint="cs"/>
                <w:b/>
                <w:bCs/>
                <w:sz w:val="28"/>
                <w:szCs w:val="28"/>
                <w:rtl/>
              </w:rPr>
              <w:t>כבוד ה</w:t>
            </w:r>
            <w:sdt>
              <w:sdtPr>
                <w:rPr>
                  <w:sz w:val="28"/>
                  <w:szCs w:val="28"/>
                  <w:rtl/>
                </w:rPr>
                <w:alias w:val="1574"/>
                <w:tag w:val="1574"/>
                <w:id w:val="-868990752"/>
                <w:text w:multiLine="1"/>
              </w:sdtPr>
              <w:sdtEndPr/>
              <w:sdtContent>
                <w:r w:rsidRPr="00E0607A">
                  <w:rPr>
                    <w:rFonts w:ascii="Arial" w:hAnsi="Arial"/>
                    <w:b/>
                    <w:bCs/>
                    <w:sz w:val="28"/>
                    <w:szCs w:val="28"/>
                    <w:rtl/>
                  </w:rPr>
                  <w:t>שופט</w:t>
                </w:r>
              </w:sdtContent>
            </w:sdt>
            <w:r w:rsidRPr="00E0607A">
              <w:rPr>
                <w:rFonts w:ascii="Arial" w:hAnsi="Arial" w:hint="cs"/>
                <w:b/>
                <w:bCs/>
                <w:sz w:val="28"/>
                <w:szCs w:val="28"/>
                <w:rtl/>
              </w:rPr>
              <w:t xml:space="preserve"> </w:t>
            </w:r>
            <w:sdt>
              <w:sdtPr>
                <w:rPr>
                  <w:sz w:val="28"/>
                  <w:szCs w:val="28"/>
                  <w:rtl/>
                </w:rPr>
                <w:alias w:val="1573"/>
                <w:tag w:val="1573"/>
                <w:id w:val="407734867"/>
                <w:text w:multiLine="1"/>
              </w:sdtPr>
              <w:sdtEndPr/>
              <w:sdtContent>
                <w:r w:rsidRPr="00E0607A">
                  <w:rPr>
                    <w:rFonts w:ascii="Arial" w:hAnsi="Arial"/>
                    <w:b/>
                    <w:bCs/>
                    <w:sz w:val="28"/>
                    <w:szCs w:val="28"/>
                    <w:rtl/>
                  </w:rPr>
                  <w:t>אביים ברקאי</w:t>
                </w:r>
              </w:sdtContent>
            </w:sdt>
          </w:p>
        </w:tc>
      </w:tr>
      <w:tr w:rsidR="006816EC" w:rsidRPr="00CD0055" w:rsidTr="006816EC">
        <w:trPr>
          <w:jc w:val="center"/>
        </w:trPr>
        <w:tc>
          <w:tcPr>
            <w:tcW w:w="3249" w:type="dxa"/>
          </w:tcPr>
          <w:p w:rsidR="006816EC" w:rsidRPr="00CD0055" w:rsidRDefault="006816EC">
            <w:pPr>
              <w:bidi w:val="0"/>
              <w:rPr>
                <w:rFonts w:ascii="Arial (W1)" w:hAnsi="Arial (W1)"/>
                <w:b/>
                <w:bCs/>
                <w:noProof w:val="0"/>
                <w:sz w:val="26"/>
                <w:szCs w:val="26"/>
                <w:rtl/>
              </w:rPr>
            </w:pPr>
          </w:p>
          <w:p w:rsidR="006816EC" w:rsidRPr="00CD0055" w:rsidRDefault="00A62BD0" w:rsidP="00E0607A">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0"/>
                <w:tag w:val="1180"/>
                <w:id w:val="-803768281"/>
                <w:text w:multiLine="1"/>
              </w:sdtPr>
              <w:sdtEndPr/>
              <w:sdtContent>
                <w:r>
                  <w:rPr>
                    <w:rFonts w:hint="cs"/>
                    <w:b/>
                    <w:bCs/>
                    <w:noProof w:val="0"/>
                    <w:sz w:val="26"/>
                    <w:szCs w:val="26"/>
                    <w:rtl/>
                  </w:rPr>
                  <w:t>תובע</w:t>
                </w:r>
              </w:sdtContent>
            </w:sdt>
            <w:r w:rsidRPr="00A62BD0">
              <w:rPr>
                <w:rFonts w:hint="cs"/>
                <w:b/>
                <w:bCs/>
                <w:sz w:val="26"/>
                <w:szCs w:val="26"/>
                <w:rtl/>
              </w:rPr>
              <w:t>:</w:t>
            </w:r>
          </w:p>
        </w:tc>
        <w:tc>
          <w:tcPr>
            <w:tcW w:w="5571" w:type="dxa"/>
          </w:tcPr>
          <w:p w:rsidR="006816EC" w:rsidRPr="00CD0055" w:rsidRDefault="006816EC">
            <w:pPr>
              <w:rPr>
                <w:rFonts w:ascii="Arial (W1)" w:hAnsi="Arial (W1)"/>
                <w:b/>
                <w:bCs/>
                <w:noProof w:val="0"/>
                <w:sz w:val="26"/>
                <w:szCs w:val="26"/>
                <w:rtl/>
              </w:rPr>
            </w:pPr>
          </w:p>
          <w:p w:rsidR="00590BFF" w:rsidRDefault="00590BFF" w:rsidP="00590BFF">
            <w:pPr>
              <w:suppressLineNumbers/>
            </w:pPr>
            <w:r>
              <w:rPr>
                <w:rFonts w:ascii="Arial" w:hAnsi="Arial"/>
                <w:b/>
                <w:bCs/>
                <w:noProof w:val="0"/>
                <w:sz w:val="26"/>
                <w:szCs w:val="26"/>
                <w:rtl/>
              </w:rPr>
              <w:t xml:space="preserve"> </w:t>
            </w:r>
            <w:sdt>
              <w:sdtPr>
                <w:rPr>
                  <w:rFonts w:ascii="Arial" w:hAnsi="Arial"/>
                  <w:b/>
                  <w:bCs/>
                  <w:noProof w:val="0"/>
                  <w:sz w:val="26"/>
                  <w:szCs w:val="26"/>
                  <w:rtl/>
                </w:rPr>
                <w:alias w:val="3151"/>
                <w:tag w:val="3151"/>
                <w:id w:val="1398553265"/>
                <w:placeholder>
                  <w:docPart w:val="CF23C55E153C472887A89D9B7136BCD7"/>
                </w:placeholder>
                <w:text w:multiLine="1"/>
              </w:sdtPr>
              <w:sdtEndPr/>
              <w:sdtContent>
                <w:r w:rsidR="00E0607A">
                  <w:rPr>
                    <w:rFonts w:ascii="Arial" w:hAnsi="Arial" w:hint="cs"/>
                    <w:b/>
                    <w:bCs/>
                    <w:noProof w:val="0"/>
                    <w:sz w:val="26"/>
                    <w:szCs w:val="26"/>
                    <w:rtl/>
                  </w:rPr>
                  <w:t xml:space="preserve">ח"כ </w:t>
                </w:r>
                <w:r w:rsidR="00445367">
                  <w:rPr>
                    <w:rFonts w:ascii="Arial" w:hAnsi="Arial"/>
                    <w:b/>
                    <w:bCs/>
                    <w:noProof w:val="0"/>
                    <w:sz w:val="26"/>
                    <w:szCs w:val="26"/>
                    <w:rtl/>
                  </w:rPr>
                  <w:t>אריה מכלוף דרעי</w:t>
                </w:r>
              </w:sdtContent>
            </w:sdt>
          </w:p>
          <w:p w:rsidR="006816EC" w:rsidRPr="00590BFF" w:rsidRDefault="006816EC" w:rsidP="00934F1C">
            <w:pPr>
              <w:rPr>
                <w:sz w:val="26"/>
                <w:szCs w:val="26"/>
              </w:rPr>
            </w:pPr>
          </w:p>
        </w:tc>
      </w:tr>
      <w:tr w:rsidR="006816EC" w:rsidRPr="00CD0055" w:rsidTr="006816EC">
        <w:trPr>
          <w:jc w:val="center"/>
        </w:trPr>
        <w:tc>
          <w:tcPr>
            <w:tcW w:w="8820" w:type="dxa"/>
            <w:gridSpan w:val="2"/>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A62BD0" w:rsidRDefault="006816EC">
            <w:pPr>
              <w:rPr>
                <w:rFonts w:ascii="Arial (W1)" w:hAnsi="Arial (W1)"/>
                <w:b/>
                <w:bCs/>
                <w:noProof w:val="0"/>
                <w:sz w:val="22"/>
                <w:szCs w:val="22"/>
              </w:rPr>
            </w:pPr>
          </w:p>
        </w:tc>
      </w:tr>
      <w:tr w:rsidR="006816EC" w:rsidRPr="00CD0055" w:rsidTr="006816EC">
        <w:trPr>
          <w:jc w:val="center"/>
        </w:trPr>
        <w:tc>
          <w:tcPr>
            <w:tcW w:w="3249" w:type="dxa"/>
          </w:tcPr>
          <w:p w:rsidR="006816EC" w:rsidRPr="00CD0055" w:rsidRDefault="006816EC">
            <w:pPr>
              <w:rPr>
                <w:rFonts w:ascii="Arial (W1)" w:hAnsi="Arial (W1)"/>
                <w:b/>
                <w:bCs/>
                <w:noProof w:val="0"/>
                <w:sz w:val="26"/>
                <w:szCs w:val="26"/>
                <w:rtl/>
              </w:rPr>
            </w:pPr>
          </w:p>
          <w:p w:rsidR="006816EC" w:rsidRPr="00CD0055" w:rsidRDefault="00A62BD0" w:rsidP="00E0607A">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4"/>
                <w:tag w:val="1184"/>
                <w:id w:val="-910234160"/>
                <w:text w:multiLine="1"/>
              </w:sdtPr>
              <w:sdtEndPr/>
              <w:sdtContent>
                <w:r>
                  <w:rPr>
                    <w:rFonts w:hint="cs"/>
                    <w:b/>
                    <w:bCs/>
                    <w:noProof w:val="0"/>
                    <w:sz w:val="26"/>
                    <w:szCs w:val="26"/>
                    <w:rtl/>
                  </w:rPr>
                  <w:t>נתבע</w:t>
                </w:r>
              </w:sdtContent>
            </w:sdt>
            <w:r>
              <w:rPr>
                <w:rFonts w:ascii="Arial (W1)" w:hAnsi="Arial (W1)" w:hint="cs"/>
                <w:b/>
                <w:bCs/>
                <w:noProof w:val="0"/>
                <w:sz w:val="26"/>
                <w:szCs w:val="26"/>
                <w:rtl/>
              </w:rPr>
              <w:t>:</w:t>
            </w:r>
          </w:p>
        </w:tc>
        <w:tc>
          <w:tcPr>
            <w:tcW w:w="5571" w:type="dxa"/>
          </w:tcPr>
          <w:p w:rsidR="006816EC" w:rsidRPr="00CD0055" w:rsidRDefault="006816EC">
            <w:pPr>
              <w:rPr>
                <w:rFonts w:ascii="Arial (W1)" w:hAnsi="Arial (W1)"/>
                <w:b/>
                <w:bCs/>
                <w:noProof w:val="0"/>
                <w:sz w:val="26"/>
                <w:szCs w:val="26"/>
                <w:rtl/>
              </w:rPr>
            </w:pPr>
          </w:p>
          <w:p w:rsidR="00590BFF" w:rsidRDefault="00590BFF" w:rsidP="00590BFF">
            <w:pPr>
              <w:suppressLineNumbers/>
            </w:pPr>
            <w:r>
              <w:rPr>
                <w:rFonts w:ascii="Arial" w:hAnsi="Arial"/>
                <w:b/>
                <w:bCs/>
                <w:noProof w:val="0"/>
                <w:sz w:val="26"/>
                <w:szCs w:val="26"/>
                <w:rtl/>
              </w:rPr>
              <w:t xml:space="preserve"> </w:t>
            </w:r>
            <w:sdt>
              <w:sdtPr>
                <w:rPr>
                  <w:rFonts w:ascii="Arial" w:hAnsi="Arial"/>
                  <w:b/>
                  <w:bCs/>
                  <w:noProof w:val="0"/>
                  <w:sz w:val="26"/>
                  <w:szCs w:val="26"/>
                  <w:rtl/>
                </w:rPr>
                <w:alias w:val="3152"/>
                <w:tag w:val="3152"/>
                <w:id w:val="1920052440"/>
                <w:placeholder>
                  <w:docPart w:val="194E34B33324450F97AD1D486216FCF5"/>
                </w:placeholder>
                <w:text w:multiLine="1"/>
              </w:sdtPr>
              <w:sdtEndPr/>
              <w:sdtContent>
                <w:r w:rsidR="00445367">
                  <w:rPr>
                    <w:rFonts w:ascii="Arial" w:hAnsi="Arial"/>
                    <w:b/>
                    <w:bCs/>
                    <w:noProof w:val="0"/>
                    <w:sz w:val="26"/>
                    <w:szCs w:val="26"/>
                    <w:rtl/>
                  </w:rPr>
                  <w:t>בן כספית</w:t>
                </w:r>
              </w:sdtContent>
            </w:sdt>
          </w:p>
          <w:p w:rsidR="006816EC" w:rsidRPr="00590BFF" w:rsidRDefault="006816EC" w:rsidP="00934F1C">
            <w:pPr>
              <w:rPr>
                <w:sz w:val="26"/>
                <w:szCs w:val="26"/>
              </w:rPr>
            </w:pPr>
          </w:p>
        </w:tc>
      </w:tr>
    </w:tbl>
    <w:p w:rsidR="006816EC" w:rsidRPr="00E0607A" w:rsidRDefault="006816EC" w:rsidP="00E13360">
      <w:pPr>
        <w:suppressLineNumbers/>
        <w:rPr>
          <w:rFonts w:ascii="Arial (W1)" w:hAnsi="Arial (W1)"/>
          <w:rtl/>
        </w:rPr>
      </w:pPr>
    </w:p>
    <w:p w:rsidR="00E0607A" w:rsidRPr="00E0607A" w:rsidRDefault="00E0607A" w:rsidP="00E0607A">
      <w:pPr>
        <w:suppressLineNumbers/>
        <w:ind w:left="-482"/>
        <w:rPr>
          <w:rFonts w:ascii="Arial (W1)" w:hAnsi="Arial (W1)"/>
          <w:rtl/>
        </w:rPr>
      </w:pPr>
      <w:r w:rsidRPr="00E0607A">
        <w:rPr>
          <w:rFonts w:ascii="Arial (W1)" w:hAnsi="Arial (W1)" w:hint="cs"/>
          <w:rtl/>
        </w:rPr>
        <w:t>ב"כ התובע:</w:t>
      </w:r>
      <w:r w:rsidRPr="00E0607A">
        <w:rPr>
          <w:rFonts w:ascii="Arial (W1)" w:hAnsi="Arial (W1)"/>
          <w:rtl/>
        </w:rPr>
        <w:tab/>
      </w:r>
      <w:r w:rsidRPr="00E0607A">
        <w:rPr>
          <w:rFonts w:ascii="Arial (W1)" w:hAnsi="Arial (W1)" w:hint="cs"/>
          <w:rtl/>
        </w:rPr>
        <w:t>עו"ד אילן בומבך</w:t>
      </w:r>
    </w:p>
    <w:p w:rsidR="00E0607A" w:rsidRPr="00E0607A" w:rsidRDefault="00E0607A" w:rsidP="00E0607A">
      <w:pPr>
        <w:suppressLineNumbers/>
        <w:ind w:left="-482"/>
        <w:rPr>
          <w:rFonts w:ascii="Arial (W1)" w:hAnsi="Arial (W1)"/>
          <w:rtl/>
        </w:rPr>
      </w:pPr>
      <w:r w:rsidRPr="00E0607A">
        <w:rPr>
          <w:rFonts w:ascii="Arial (W1)" w:hAnsi="Arial (W1)" w:hint="cs"/>
          <w:rtl/>
        </w:rPr>
        <w:t>ב"כ הנתבע:</w:t>
      </w:r>
      <w:r w:rsidRPr="00E0607A">
        <w:rPr>
          <w:rFonts w:ascii="Arial (W1)" w:hAnsi="Arial (W1)"/>
          <w:rtl/>
        </w:rPr>
        <w:tab/>
      </w:r>
      <w:r w:rsidRPr="00E0607A">
        <w:rPr>
          <w:rFonts w:ascii="Arial (W1)" w:hAnsi="Arial (W1)" w:hint="cs"/>
          <w:rtl/>
        </w:rPr>
        <w:t>עו"ד יורם מושקט, עו"ד אוריין אשכולי יהלום</w:t>
      </w:r>
    </w:p>
    <w:p w:rsidR="00E0607A" w:rsidRPr="00E13360" w:rsidRDefault="00E0607A" w:rsidP="00E13360">
      <w:pPr>
        <w:suppressLineNumbers/>
        <w:rPr>
          <w:rFonts w:ascii="Arial (W1)" w:hAnsi="Arial (W1)"/>
          <w:sz w:val="28"/>
          <w:szCs w:val="28"/>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sidRPr="00E0607A">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E0607A" w:rsidRDefault="00E0607A" w:rsidP="00E0607A">
      <w:pPr>
        <w:pStyle w:val="ad"/>
        <w:spacing w:line="360" w:lineRule="auto"/>
        <w:ind w:left="-739"/>
        <w:jc w:val="both"/>
        <w:rPr>
          <w:rFonts w:ascii="David" w:hAnsi="David" w:cs="David"/>
          <w:b/>
          <w:bCs/>
          <w:sz w:val="28"/>
          <w:szCs w:val="28"/>
          <w:u w:val="single"/>
        </w:rPr>
      </w:pPr>
      <w:r>
        <w:rPr>
          <w:rFonts w:ascii="David" w:hAnsi="David" w:cs="David"/>
          <w:b/>
          <w:bCs/>
          <w:sz w:val="28"/>
          <w:szCs w:val="28"/>
          <w:u w:val="single"/>
          <w:rtl/>
        </w:rPr>
        <w:t xml:space="preserve">חלק ראשון - פתח דבר </w:t>
      </w:r>
    </w:p>
    <w:p w:rsidR="00E0607A" w:rsidRDefault="00E0607A" w:rsidP="00E0607A">
      <w:pPr>
        <w:pStyle w:val="ad"/>
        <w:spacing w:line="360" w:lineRule="auto"/>
        <w:ind w:left="-739"/>
        <w:jc w:val="both"/>
        <w:rPr>
          <w:rFonts w:ascii="David" w:hAnsi="David" w:cs="David"/>
          <w:sz w:val="24"/>
          <w:szCs w:val="24"/>
          <w:rtl/>
        </w:rPr>
      </w:pPr>
    </w:p>
    <w:p w:rsidR="00E0607A" w:rsidRDefault="00E0607A" w:rsidP="00E0607A">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מהות פסק הדין, פרסומים שונים שעומדים בבסיסו והתייחסות כבר עתה לתוצאת פסק הדין</w:t>
      </w:r>
    </w:p>
    <w:p w:rsidR="00E0607A" w:rsidRDefault="00E0607A" w:rsidP="00E0607A">
      <w:pPr>
        <w:pStyle w:val="ad"/>
        <w:spacing w:line="360" w:lineRule="auto"/>
        <w:ind w:left="-172"/>
        <w:jc w:val="both"/>
        <w:rPr>
          <w:rFonts w:ascii="David" w:hAnsi="David" w:cs="David"/>
          <w:sz w:val="24"/>
          <w:szCs w:val="24"/>
        </w:rPr>
      </w:pPr>
    </w:p>
    <w:p w:rsidR="00E0607A" w:rsidRDefault="00E0607A" w:rsidP="00E0607A">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מהות פסק הדין</w:t>
      </w:r>
    </w:p>
    <w:p w:rsidR="00E0607A" w:rsidRDefault="00E0607A" w:rsidP="00405D15">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עניינו של פסק הדין הוא תביעת לשון הרע ודרישה לפיצוי בסך של 400,000 ₪. התביעה הוגשה על ידי חבר כנסת ויו"ר מפלגת ש"ס כנגד עיתונאי כעיתונאי בכיר ובעל טור בעיתון מעריב. הפרסומים הם מחודש דצמבר 2021 ומתייחסים לחלקו הנטען של התובע באירוע </w:t>
      </w:r>
      <w:r>
        <w:rPr>
          <w:rFonts w:ascii="David" w:hAnsi="David" w:cs="David"/>
          <w:b/>
          <w:bCs/>
          <w:sz w:val="24"/>
          <w:szCs w:val="24"/>
          <w:rtl/>
        </w:rPr>
        <w:t>"אסון מירון"</w:t>
      </w:r>
      <w:r>
        <w:rPr>
          <w:rFonts w:ascii="David" w:hAnsi="David" w:cs="David"/>
          <w:sz w:val="24"/>
          <w:szCs w:val="24"/>
          <w:rtl/>
        </w:rPr>
        <w:t xml:space="preserve">. אסון מיום 20/4/2021 בו </w:t>
      </w:r>
      <w:r w:rsidR="00405D15">
        <w:rPr>
          <w:rFonts w:ascii="David" w:hAnsi="David" w:cs="David" w:hint="cs"/>
          <w:sz w:val="24"/>
          <w:szCs w:val="24"/>
          <w:rtl/>
        </w:rPr>
        <w:t xml:space="preserve">נפגעו כמעט מאתיים אנשים. אסון בו </w:t>
      </w:r>
      <w:r>
        <w:rPr>
          <w:rFonts w:ascii="David" w:hAnsi="David" w:cs="David"/>
          <w:sz w:val="24"/>
          <w:szCs w:val="24"/>
          <w:rtl/>
        </w:rPr>
        <w:t>נהרגו ארבעים וחמישה</w:t>
      </w:r>
      <w:r w:rsidR="00405D15">
        <w:rPr>
          <w:rFonts w:ascii="David" w:hAnsi="David" w:cs="David" w:hint="cs"/>
          <w:sz w:val="24"/>
          <w:szCs w:val="24"/>
          <w:rtl/>
        </w:rPr>
        <w:t xml:space="preserve"> </w:t>
      </w:r>
      <w:r>
        <w:rPr>
          <w:rFonts w:ascii="David" w:hAnsi="David" w:cs="David"/>
          <w:sz w:val="24"/>
          <w:szCs w:val="24"/>
          <w:rtl/>
        </w:rPr>
        <w:t>ונפצעו מאה ארבעים וח</w:t>
      </w:r>
      <w:r w:rsidR="00405D15">
        <w:rPr>
          <w:rFonts w:ascii="David" w:hAnsi="David" w:cs="David"/>
          <w:sz w:val="24"/>
          <w:szCs w:val="24"/>
          <w:rtl/>
        </w:rPr>
        <w:t>מישה בני אדם, במסגרת "הילולת רב</w:t>
      </w:r>
      <w:r w:rsidR="00405D15">
        <w:rPr>
          <w:rFonts w:ascii="David" w:hAnsi="David" w:cs="David" w:hint="cs"/>
          <w:sz w:val="24"/>
          <w:szCs w:val="24"/>
          <w:rtl/>
        </w:rPr>
        <w:t>י</w:t>
      </w:r>
      <w:r>
        <w:rPr>
          <w:rFonts w:ascii="David" w:hAnsi="David" w:cs="David"/>
          <w:sz w:val="24"/>
          <w:szCs w:val="24"/>
          <w:rtl/>
        </w:rPr>
        <w:t xml:space="preserve"> שמעון בר יוחאי" בל"ג בעומר בהר מירון. האסון אירע, כפי שתואר – </w:t>
      </w:r>
      <w:r>
        <w:rPr>
          <w:rFonts w:ascii="David" w:hAnsi="David" w:cs="David"/>
          <w:b/>
          <w:bCs/>
          <w:sz w:val="24"/>
          <w:szCs w:val="24"/>
          <w:rtl/>
        </w:rPr>
        <w:t>"עקב מעיכה וחנק שנגרמו בתדחוקת קהל"</w:t>
      </w:r>
      <w:r>
        <w:rPr>
          <w:rFonts w:ascii="David" w:hAnsi="David" w:cs="David"/>
          <w:sz w:val="24"/>
          <w:szCs w:val="24"/>
          <w:rtl/>
        </w:rPr>
        <w:t>.</w:t>
      </w:r>
    </w:p>
    <w:p w:rsidR="00E0607A" w:rsidRDefault="00E0607A" w:rsidP="00E0607A">
      <w:pPr>
        <w:pStyle w:val="ad"/>
        <w:spacing w:line="360" w:lineRule="auto"/>
        <w:ind w:left="755"/>
        <w:jc w:val="both"/>
        <w:rPr>
          <w:rFonts w:ascii="David" w:hAnsi="David" w:cs="David"/>
          <w:sz w:val="24"/>
          <w:szCs w:val="24"/>
        </w:rPr>
      </w:pPr>
    </w:p>
    <w:p w:rsidR="00E0607A" w:rsidRDefault="00E0607A" w:rsidP="00E0607A">
      <w:pPr>
        <w:pStyle w:val="ad"/>
        <w:numPr>
          <w:ilvl w:val="0"/>
          <w:numId w:val="2"/>
        </w:numPr>
        <w:spacing w:line="360" w:lineRule="auto"/>
        <w:jc w:val="both"/>
        <w:rPr>
          <w:rFonts w:ascii="David" w:hAnsi="David" w:cs="David"/>
          <w:sz w:val="24"/>
          <w:szCs w:val="24"/>
        </w:rPr>
      </w:pPr>
      <w:r>
        <w:rPr>
          <w:rFonts w:ascii="David" w:hAnsi="David" w:cs="David"/>
          <w:sz w:val="24"/>
          <w:szCs w:val="24"/>
          <w:rtl/>
        </w:rPr>
        <w:t>כתב התביעה הוגש ביום 26/12/2021, תשעה ימים לאחר הפרסום הראשון ויומיים לאחר הפרסום השני שבבסיס התביעה.</w:t>
      </w:r>
      <w:r w:rsidR="00405D15">
        <w:rPr>
          <w:rFonts w:ascii="David" w:hAnsi="David" w:cs="David" w:hint="cs"/>
          <w:sz w:val="24"/>
          <w:szCs w:val="24"/>
          <w:rtl/>
        </w:rPr>
        <w:t xml:space="preserve"> בדיון שהתקיים העידו שניים </w:t>
      </w:r>
      <w:r w:rsidR="00405D15">
        <w:rPr>
          <w:rFonts w:ascii="David" w:hAnsi="David" w:cs="David"/>
          <w:sz w:val="24"/>
          <w:szCs w:val="24"/>
          <w:rtl/>
        </w:rPr>
        <w:t>–</w:t>
      </w:r>
      <w:r w:rsidR="00405D15">
        <w:rPr>
          <w:rFonts w:ascii="David" w:hAnsi="David" w:cs="David" w:hint="cs"/>
          <w:sz w:val="24"/>
          <w:szCs w:val="24"/>
          <w:rtl/>
        </w:rPr>
        <w:t xml:space="preserve"> התובע והנתבע בלבד וכעת ניתן פסק הדין.</w:t>
      </w:r>
    </w:p>
    <w:p w:rsidR="00E0607A" w:rsidRDefault="00E0607A" w:rsidP="00E0607A">
      <w:pPr>
        <w:pStyle w:val="ad"/>
        <w:spacing w:line="360" w:lineRule="auto"/>
        <w:ind w:left="395"/>
        <w:jc w:val="both"/>
        <w:rPr>
          <w:rFonts w:ascii="David" w:hAnsi="David" w:cs="David"/>
          <w:sz w:val="24"/>
          <w:szCs w:val="24"/>
        </w:rPr>
      </w:pPr>
    </w:p>
    <w:p w:rsidR="00E0607A" w:rsidRDefault="00E0607A" w:rsidP="00E0607A">
      <w:pPr>
        <w:pStyle w:val="ad"/>
        <w:numPr>
          <w:ilvl w:val="1"/>
          <w:numId w:val="1"/>
        </w:numPr>
        <w:spacing w:line="360" w:lineRule="auto"/>
        <w:ind w:left="395" w:hanging="567"/>
        <w:jc w:val="both"/>
        <w:rPr>
          <w:rFonts w:ascii="David" w:hAnsi="David" w:cs="David"/>
          <w:b/>
          <w:bCs/>
          <w:sz w:val="24"/>
          <w:szCs w:val="24"/>
          <w:u w:val="single"/>
        </w:rPr>
      </w:pPr>
      <w:r>
        <w:rPr>
          <w:rFonts w:ascii="David" w:hAnsi="David" w:cs="David"/>
          <w:b/>
          <w:bCs/>
          <w:sz w:val="24"/>
          <w:szCs w:val="24"/>
          <w:u w:val="single"/>
          <w:rtl/>
        </w:rPr>
        <w:t>הפרסומים בבסיס התביעה ופסק הדין</w:t>
      </w:r>
    </w:p>
    <w:p w:rsidR="00E0607A" w:rsidRDefault="00E0607A" w:rsidP="00E0607A">
      <w:pPr>
        <w:pStyle w:val="ad"/>
        <w:spacing w:line="360" w:lineRule="auto"/>
        <w:ind w:left="395"/>
        <w:jc w:val="both"/>
        <w:rPr>
          <w:rFonts w:ascii="David" w:hAnsi="David" w:cs="David"/>
          <w:sz w:val="24"/>
          <w:szCs w:val="24"/>
          <w:u w:val="single"/>
        </w:rPr>
      </w:pPr>
      <w:r>
        <w:rPr>
          <w:rFonts w:ascii="David" w:hAnsi="David" w:cs="David"/>
          <w:sz w:val="24"/>
          <w:szCs w:val="24"/>
          <w:rtl/>
        </w:rPr>
        <w:t>פסק הדין מתייחס לשני פרסומים, כמפורט להלן:</w:t>
      </w:r>
    </w:p>
    <w:p w:rsidR="00E0607A" w:rsidRDefault="00E0607A" w:rsidP="00E0607A">
      <w:pPr>
        <w:pStyle w:val="ad"/>
        <w:spacing w:line="360" w:lineRule="auto"/>
        <w:ind w:left="395"/>
        <w:jc w:val="both"/>
        <w:rPr>
          <w:rFonts w:ascii="David" w:hAnsi="David" w:cs="David"/>
          <w:sz w:val="24"/>
          <w:szCs w:val="24"/>
          <w:rtl/>
        </w:rPr>
      </w:pPr>
    </w:p>
    <w:p w:rsidR="00E0607A" w:rsidRDefault="00E0607A" w:rsidP="00E0607A">
      <w:pPr>
        <w:pStyle w:val="ad"/>
        <w:numPr>
          <w:ilvl w:val="0"/>
          <w:numId w:val="3"/>
        </w:numPr>
        <w:spacing w:line="360" w:lineRule="auto"/>
        <w:jc w:val="both"/>
        <w:rPr>
          <w:rFonts w:ascii="David" w:hAnsi="David" w:cs="David"/>
          <w:sz w:val="24"/>
          <w:szCs w:val="24"/>
          <w:rtl/>
        </w:rPr>
      </w:pPr>
      <w:r>
        <w:rPr>
          <w:rFonts w:ascii="David" w:hAnsi="David" w:cs="David"/>
          <w:sz w:val="24"/>
          <w:szCs w:val="24"/>
          <w:u w:val="single"/>
          <w:rtl/>
        </w:rPr>
        <w:t>הפרסום הראשון</w:t>
      </w:r>
      <w:r>
        <w:rPr>
          <w:rFonts w:ascii="David" w:hAnsi="David" w:cs="David"/>
          <w:sz w:val="24"/>
          <w:szCs w:val="24"/>
          <w:rtl/>
        </w:rPr>
        <w:t xml:space="preserve"> – פרסום שהופיע ביום 17/12/2021 אגב טור בעיתון מעריב ובו נכתב כך (ההדגשות לא במקור) - </w:t>
      </w:r>
      <w:r>
        <w:rPr>
          <w:rFonts w:ascii="David" w:hAnsi="David" w:cs="David"/>
          <w:b/>
          <w:bCs/>
          <w:sz w:val="24"/>
          <w:szCs w:val="24"/>
          <w:rtl/>
        </w:rPr>
        <w:t>"דרעי, עבריין מורשע ש</w:t>
      </w:r>
      <w:r>
        <w:rPr>
          <w:rFonts w:ascii="David" w:hAnsi="David" w:cs="David"/>
          <w:b/>
          <w:bCs/>
          <w:sz w:val="24"/>
          <w:szCs w:val="24"/>
          <w:u w:val="single"/>
          <w:rtl/>
        </w:rPr>
        <w:t>דמם של 45 נספי אסון מירון מרוח על ידיו</w:t>
      </w:r>
      <w:r>
        <w:rPr>
          <w:rFonts w:ascii="David" w:hAnsi="David" w:cs="David"/>
          <w:b/>
          <w:bCs/>
          <w:sz w:val="24"/>
          <w:szCs w:val="24"/>
          <w:rtl/>
        </w:rPr>
        <w:t>"</w:t>
      </w:r>
      <w:r>
        <w:rPr>
          <w:rFonts w:ascii="David" w:hAnsi="David" w:cs="David"/>
          <w:sz w:val="24"/>
          <w:szCs w:val="24"/>
          <w:rtl/>
        </w:rPr>
        <w:t>.</w:t>
      </w:r>
    </w:p>
    <w:p w:rsidR="00E0607A" w:rsidRDefault="00E0607A" w:rsidP="00E0607A">
      <w:pPr>
        <w:pStyle w:val="ad"/>
        <w:spacing w:line="360" w:lineRule="auto"/>
        <w:ind w:left="755"/>
        <w:jc w:val="both"/>
        <w:rPr>
          <w:rFonts w:ascii="David" w:hAnsi="David" w:cs="David"/>
          <w:sz w:val="24"/>
          <w:szCs w:val="24"/>
        </w:rPr>
      </w:pPr>
    </w:p>
    <w:p w:rsidR="00E0607A" w:rsidRDefault="00E0607A" w:rsidP="00E0607A">
      <w:pPr>
        <w:pStyle w:val="ad"/>
        <w:numPr>
          <w:ilvl w:val="0"/>
          <w:numId w:val="3"/>
        </w:numPr>
        <w:spacing w:line="360" w:lineRule="auto"/>
        <w:jc w:val="both"/>
        <w:rPr>
          <w:rFonts w:ascii="David" w:hAnsi="David" w:cs="David"/>
          <w:sz w:val="24"/>
          <w:szCs w:val="24"/>
        </w:rPr>
      </w:pPr>
      <w:r>
        <w:rPr>
          <w:rFonts w:ascii="David" w:hAnsi="David" w:cs="David"/>
          <w:sz w:val="24"/>
          <w:szCs w:val="24"/>
          <w:u w:val="single"/>
          <w:rtl/>
        </w:rPr>
        <w:t>הפרסום השני</w:t>
      </w:r>
      <w:r>
        <w:rPr>
          <w:rFonts w:ascii="David" w:hAnsi="David" w:cs="David"/>
          <w:sz w:val="24"/>
          <w:szCs w:val="24"/>
          <w:rtl/>
        </w:rPr>
        <w:t xml:space="preserve"> – פרסום מיום 24/12/2021 בו הופיעה התייחסות ל</w:t>
      </w:r>
      <w:r w:rsidR="00405D15">
        <w:rPr>
          <w:rFonts w:ascii="David" w:hAnsi="David" w:cs="David" w:hint="cs"/>
          <w:sz w:val="24"/>
          <w:szCs w:val="24"/>
          <w:rtl/>
        </w:rPr>
        <w:t>ו</w:t>
      </w:r>
      <w:r>
        <w:rPr>
          <w:rFonts w:ascii="David" w:hAnsi="David" w:cs="David"/>
          <w:sz w:val="24"/>
          <w:szCs w:val="24"/>
          <w:rtl/>
        </w:rPr>
        <w:t xml:space="preserve">ועדת החקירה הממלכתית לחקר אסון הר מירון ונאמר כך (ההדגשות לא במקור) - </w:t>
      </w:r>
      <w:r>
        <w:rPr>
          <w:rFonts w:ascii="David" w:hAnsi="David" w:cs="David"/>
          <w:b/>
          <w:bCs/>
          <w:sz w:val="24"/>
          <w:szCs w:val="24"/>
          <w:rtl/>
        </w:rPr>
        <w:t xml:space="preserve">"בפני הוועדה הזו נשמעו, עד עכשיו, </w:t>
      </w:r>
      <w:r>
        <w:rPr>
          <w:rFonts w:ascii="David" w:hAnsi="David" w:cs="David"/>
          <w:b/>
          <w:bCs/>
          <w:sz w:val="24"/>
          <w:szCs w:val="24"/>
          <w:rtl/>
        </w:rPr>
        <w:lastRenderedPageBreak/>
        <w:t>עדויות מפי היועצת המשפטית של משרד הדתות, הרל"שית של מפקד מחוז הצפון במשטרה ועדים נוספים,</w:t>
      </w:r>
      <w:r w:rsidRPr="00405D15">
        <w:rPr>
          <w:rFonts w:ascii="David" w:hAnsi="David" w:cs="David"/>
          <w:b/>
          <w:bCs/>
          <w:sz w:val="24"/>
          <w:szCs w:val="24"/>
          <w:rtl/>
        </w:rPr>
        <w:t xml:space="preserve"> </w:t>
      </w:r>
      <w:r>
        <w:rPr>
          <w:rFonts w:ascii="David" w:hAnsi="David" w:cs="David"/>
          <w:b/>
          <w:bCs/>
          <w:sz w:val="24"/>
          <w:szCs w:val="24"/>
          <w:u w:val="single"/>
          <w:rtl/>
        </w:rPr>
        <w:t>שמהן עולה בוודאות שהדחיפה לקיומה של הילולת מירון במתכונת הרגילה שלה, ללא הגבלות כלשהן, הגיעה מדרעי.</w:t>
      </w:r>
      <w:r>
        <w:rPr>
          <w:rFonts w:ascii="David" w:hAnsi="David" w:cs="David"/>
          <w:b/>
          <w:bCs/>
          <w:sz w:val="24"/>
          <w:szCs w:val="24"/>
          <w:rtl/>
        </w:rPr>
        <w:t xml:space="preserve"> היו עדים שטענו שמדובר גם בלחץ מאסיבי של השר לביטחון הפנים אמיר אוחנה. היו עדים שאמרו שמאחורי שני אלה היה לחץ כבד של נתניהו. </w:t>
      </w:r>
      <w:r>
        <w:rPr>
          <w:rFonts w:ascii="David" w:hAnsi="David" w:cs="David"/>
          <w:b/>
          <w:bCs/>
          <w:sz w:val="24"/>
          <w:szCs w:val="24"/>
          <w:u w:val="single"/>
          <w:rtl/>
        </w:rPr>
        <w:t>המעורבות של דרעי לקיים את ההילולה בלי הגבלת כניסה עולה בעדויות הללו בבירור. על פי היועמ"שית של משרד הדתות, דרעי "ביטל" את השר המכהן במשרד, נכנס לנעליו וניהל את העסק</w:t>
      </w:r>
      <w:r>
        <w:rPr>
          <w:rFonts w:ascii="David" w:hAnsi="David" w:cs="David"/>
          <w:b/>
          <w:bCs/>
          <w:sz w:val="24"/>
          <w:szCs w:val="24"/>
          <w:rtl/>
        </w:rPr>
        <w:t>."</w:t>
      </w:r>
      <w:r>
        <w:rPr>
          <w:rFonts w:ascii="David" w:hAnsi="David" w:cs="David"/>
          <w:b/>
          <w:bCs/>
          <w:sz w:val="24"/>
          <w:szCs w:val="24"/>
          <w:u w:val="single"/>
          <w:rtl/>
        </w:rPr>
        <w:t xml:space="preserve"> </w:t>
      </w:r>
    </w:p>
    <w:p w:rsidR="00E0607A" w:rsidRDefault="00E0607A" w:rsidP="00E0607A">
      <w:pPr>
        <w:pStyle w:val="ad"/>
        <w:spacing w:line="360" w:lineRule="auto"/>
        <w:ind w:left="1080"/>
        <w:jc w:val="both"/>
        <w:rPr>
          <w:rFonts w:ascii="David" w:hAnsi="David" w:cs="David"/>
          <w:sz w:val="24"/>
          <w:szCs w:val="24"/>
          <w:rtl/>
        </w:rPr>
      </w:pPr>
    </w:p>
    <w:p w:rsidR="00E0607A" w:rsidRDefault="00E0607A" w:rsidP="00E0607A">
      <w:pPr>
        <w:pStyle w:val="ad"/>
        <w:numPr>
          <w:ilvl w:val="1"/>
          <w:numId w:val="1"/>
        </w:numPr>
        <w:spacing w:line="360" w:lineRule="auto"/>
        <w:ind w:left="395" w:hanging="567"/>
        <w:jc w:val="both"/>
        <w:rPr>
          <w:rFonts w:ascii="David" w:hAnsi="David" w:cs="David"/>
          <w:b/>
          <w:bCs/>
          <w:sz w:val="24"/>
          <w:szCs w:val="24"/>
          <w:u w:val="single"/>
          <w:rtl/>
        </w:rPr>
      </w:pPr>
      <w:r>
        <w:rPr>
          <w:rFonts w:ascii="David" w:hAnsi="David" w:cs="David"/>
          <w:b/>
          <w:bCs/>
          <w:sz w:val="24"/>
          <w:szCs w:val="24"/>
          <w:u w:val="single"/>
          <w:rtl/>
        </w:rPr>
        <w:t>הסעדים להם עתר התובע</w:t>
      </w:r>
    </w:p>
    <w:p w:rsidR="00E0607A" w:rsidRDefault="00E0607A" w:rsidP="00E0607A">
      <w:pPr>
        <w:pStyle w:val="ad"/>
        <w:spacing w:line="360" w:lineRule="auto"/>
        <w:ind w:left="395"/>
        <w:jc w:val="both"/>
        <w:rPr>
          <w:rFonts w:ascii="David" w:hAnsi="David" w:cs="David"/>
          <w:sz w:val="24"/>
          <w:szCs w:val="24"/>
        </w:rPr>
      </w:pPr>
      <w:r>
        <w:rPr>
          <w:rFonts w:ascii="David" w:hAnsi="David" w:cs="David"/>
          <w:sz w:val="24"/>
          <w:szCs w:val="24"/>
          <w:rtl/>
        </w:rPr>
        <w:t xml:space="preserve">התובע עתר לסעדים המחייבים את הנתבע בפרסום הודעות תיקון וכן בפיצוי כספי, כמפורט להלן: </w:t>
      </w:r>
    </w:p>
    <w:p w:rsidR="00E0607A" w:rsidRDefault="00E0607A" w:rsidP="00E0607A">
      <w:pPr>
        <w:pStyle w:val="ad"/>
        <w:spacing w:line="360" w:lineRule="auto"/>
        <w:ind w:left="395"/>
        <w:jc w:val="both"/>
        <w:rPr>
          <w:rFonts w:ascii="David" w:hAnsi="David" w:cs="David"/>
          <w:sz w:val="24"/>
          <w:szCs w:val="24"/>
          <w:u w:val="single"/>
          <w:rtl/>
        </w:rPr>
      </w:pPr>
    </w:p>
    <w:p w:rsidR="00E0607A" w:rsidRDefault="00E0607A" w:rsidP="00E0607A">
      <w:pPr>
        <w:pStyle w:val="ad"/>
        <w:numPr>
          <w:ilvl w:val="0"/>
          <w:numId w:val="4"/>
        </w:numPr>
        <w:spacing w:line="360" w:lineRule="auto"/>
        <w:jc w:val="both"/>
        <w:rPr>
          <w:rFonts w:ascii="David" w:hAnsi="David" w:cs="David"/>
          <w:sz w:val="24"/>
          <w:szCs w:val="24"/>
          <w:u w:val="single"/>
          <w:rtl/>
        </w:rPr>
      </w:pPr>
      <w:r>
        <w:rPr>
          <w:rFonts w:ascii="David" w:hAnsi="David" w:cs="David"/>
          <w:b/>
          <w:bCs/>
          <w:sz w:val="24"/>
          <w:szCs w:val="24"/>
          <w:u w:val="single"/>
          <w:rtl/>
        </w:rPr>
        <w:t>סעד המורה על פרסום הודעות תיקון</w:t>
      </w:r>
      <w:r>
        <w:rPr>
          <w:rFonts w:ascii="David" w:hAnsi="David" w:cs="David"/>
          <w:sz w:val="24"/>
          <w:szCs w:val="24"/>
          <w:rtl/>
        </w:rPr>
        <w:t xml:space="preserve"> – סעד המחייב את הנתבע "לפרסם הודעת תיקון ו/או הודעת הכחשה בטורו הקבוע במהדורת יום שישי של עיתון "מעריב" וגם בחשבון הטוויטר של הנתבע, כך שאותה הודעה תהלום את חומרת הפרסומים הדיבתיים ואת תפוצתם".</w:t>
      </w:r>
    </w:p>
    <w:p w:rsidR="00E0607A" w:rsidRDefault="00E0607A" w:rsidP="00E0607A">
      <w:pPr>
        <w:pStyle w:val="ad"/>
        <w:spacing w:line="360" w:lineRule="auto"/>
        <w:ind w:left="755"/>
        <w:jc w:val="both"/>
        <w:rPr>
          <w:rFonts w:ascii="David" w:hAnsi="David" w:cs="David"/>
          <w:sz w:val="24"/>
          <w:szCs w:val="24"/>
          <w:u w:val="single"/>
        </w:rPr>
      </w:pPr>
    </w:p>
    <w:p w:rsidR="00E0607A" w:rsidRDefault="00E0607A" w:rsidP="00E0607A">
      <w:pPr>
        <w:pStyle w:val="ad"/>
        <w:numPr>
          <w:ilvl w:val="0"/>
          <w:numId w:val="4"/>
        </w:numPr>
        <w:spacing w:line="360" w:lineRule="auto"/>
        <w:jc w:val="both"/>
        <w:rPr>
          <w:rFonts w:ascii="David" w:hAnsi="David" w:cs="David"/>
          <w:sz w:val="24"/>
          <w:szCs w:val="24"/>
        </w:rPr>
      </w:pPr>
      <w:r>
        <w:rPr>
          <w:rFonts w:ascii="David" w:hAnsi="David" w:cs="David"/>
          <w:b/>
          <w:bCs/>
          <w:sz w:val="24"/>
          <w:szCs w:val="24"/>
          <w:u w:val="single"/>
          <w:rtl/>
        </w:rPr>
        <w:t>תשלום פיצוי כספי בסך של 400,000 ש"ח בגין נזק כללי בלתי ממוני</w:t>
      </w:r>
      <w:r>
        <w:rPr>
          <w:rFonts w:ascii="David" w:hAnsi="David" w:cs="David"/>
          <w:sz w:val="24"/>
          <w:szCs w:val="24"/>
          <w:rtl/>
        </w:rPr>
        <w:t xml:space="preserve"> – סעד המחייב את הנתבע "לשלם לתובע פיצוי בגין נזק כללי-בלתי ממוני, בהתאם להערכתו של בית המשפט הנכבד, בשיעור של 400,000 ₪". באשר לפיצוי עתר התובע שזה ייקבע – "בהתחשב במעמדו של הנתבע, תפוצתם הנרחבת של הפרסומים הן בעיתון "מעריב" של יום שישי והן בחשבון הטוויטר (שלו 282,382 עוקבים נכון ליום 22.12.21), והעובדה כי הפרסומים נעשו בעיצומה של עבודת ועדת החקירה הממלכתית לחקר אסון מירון ועל מנת להשפיע על עבודתה של ועדת החקירה ומתוך שהנתבע יודע היטב כי התובע לא העיד כלל בפני ועדת החקירה; התובע לא קיבל מכתב אזהרה לפי סעיף 15 לחוק ועדות חקירה; וכי טרם מיצה התובע את זכותו לחקור נגדית עדים שהעידו בפני ועדת החקירה, למקרה בו התובע יקבל בעתיד מכתב אזהרה כאמור".</w:t>
      </w:r>
    </w:p>
    <w:p w:rsidR="00E0607A" w:rsidRDefault="00E0607A" w:rsidP="00E0607A">
      <w:pPr>
        <w:pStyle w:val="ad"/>
        <w:rPr>
          <w:rFonts w:ascii="David" w:hAnsi="David" w:cs="David"/>
          <w:sz w:val="24"/>
          <w:szCs w:val="24"/>
          <w:rtl/>
        </w:rPr>
      </w:pPr>
    </w:p>
    <w:p w:rsidR="00E0607A" w:rsidRDefault="00E0607A" w:rsidP="00E0607A">
      <w:pPr>
        <w:pStyle w:val="ad"/>
        <w:rPr>
          <w:rFonts w:ascii="David" w:hAnsi="David" w:cs="David"/>
          <w:sz w:val="24"/>
          <w:szCs w:val="24"/>
          <w:rtl/>
        </w:rPr>
      </w:pPr>
    </w:p>
    <w:p w:rsidR="00E0607A" w:rsidRDefault="00E0607A" w:rsidP="00E0607A">
      <w:pPr>
        <w:pStyle w:val="ad"/>
        <w:numPr>
          <w:ilvl w:val="0"/>
          <w:numId w:val="4"/>
        </w:numPr>
        <w:spacing w:line="360" w:lineRule="auto"/>
        <w:jc w:val="both"/>
        <w:rPr>
          <w:rFonts w:ascii="David" w:hAnsi="David" w:cs="David"/>
          <w:sz w:val="24"/>
          <w:szCs w:val="24"/>
          <w:rtl/>
        </w:rPr>
      </w:pPr>
      <w:r>
        <w:rPr>
          <w:rFonts w:ascii="David" w:hAnsi="David" w:cs="David"/>
          <w:b/>
          <w:bCs/>
          <w:sz w:val="24"/>
          <w:szCs w:val="24"/>
          <w:u w:val="single"/>
          <w:rtl/>
        </w:rPr>
        <w:t>לחילופין, תשלום פיצוי סטטוטורי בסך של 280,000 ₪</w:t>
      </w:r>
      <w:r>
        <w:rPr>
          <w:rFonts w:ascii="David" w:hAnsi="David" w:cs="David"/>
          <w:sz w:val="24"/>
          <w:szCs w:val="24"/>
          <w:rtl/>
        </w:rPr>
        <w:t xml:space="preserve"> – התובע עתר לחילופין לחייב את הנתבע ב"מלוא הפיצוי הסטטוטורי הקבוע בסעיף 7א(ג) לחוק איסור לשון הרע, תשכ"ה-1965, בגין שני הפרסומים מושא תביעה זו , אשר בוצעו "בכוונה לפגוע" בתובע, וזאת ללא צורך בהוכחת נזק, בסך של </w:t>
      </w:r>
      <w:r>
        <w:rPr>
          <w:rFonts w:ascii="David" w:hAnsi="David" w:cs="David"/>
          <w:sz w:val="24"/>
          <w:szCs w:val="24"/>
          <w:u w:val="single"/>
          <w:rtl/>
        </w:rPr>
        <w:t>280,000 ₪</w:t>
      </w:r>
      <w:r>
        <w:rPr>
          <w:rFonts w:ascii="David" w:hAnsi="David" w:cs="David"/>
          <w:sz w:val="24"/>
          <w:szCs w:val="24"/>
          <w:rtl/>
        </w:rPr>
        <w:t>".</w:t>
      </w:r>
    </w:p>
    <w:p w:rsidR="00E0607A" w:rsidRDefault="00E0607A" w:rsidP="00E0607A">
      <w:pPr>
        <w:pStyle w:val="ad"/>
        <w:spacing w:line="360" w:lineRule="auto"/>
        <w:ind w:left="395"/>
        <w:jc w:val="both"/>
        <w:rPr>
          <w:rFonts w:ascii="David" w:hAnsi="David" w:cs="David"/>
          <w:b/>
          <w:bCs/>
          <w:sz w:val="24"/>
          <w:szCs w:val="24"/>
          <w:u w:val="single"/>
          <w:rtl/>
        </w:rPr>
      </w:pPr>
    </w:p>
    <w:p w:rsidR="00E0607A" w:rsidRDefault="00E0607A" w:rsidP="00B24F9B">
      <w:pPr>
        <w:pStyle w:val="ad"/>
        <w:numPr>
          <w:ilvl w:val="1"/>
          <w:numId w:val="1"/>
        </w:numPr>
        <w:spacing w:line="360" w:lineRule="auto"/>
        <w:ind w:left="395" w:hanging="567"/>
        <w:jc w:val="both"/>
        <w:rPr>
          <w:rFonts w:ascii="David" w:hAnsi="David" w:cs="David"/>
          <w:b/>
          <w:bCs/>
          <w:sz w:val="24"/>
          <w:szCs w:val="24"/>
          <w:u w:val="single"/>
        </w:rPr>
      </w:pPr>
      <w:r>
        <w:rPr>
          <w:rFonts w:ascii="David" w:hAnsi="David" w:cs="David"/>
          <w:b/>
          <w:bCs/>
          <w:sz w:val="24"/>
          <w:szCs w:val="24"/>
          <w:u w:val="single"/>
          <w:rtl/>
        </w:rPr>
        <w:t>שתי הערות ביחס לו</w:t>
      </w:r>
      <w:r w:rsidR="00AC34F6">
        <w:rPr>
          <w:rFonts w:ascii="David" w:hAnsi="David" w:cs="David" w:hint="cs"/>
          <w:b/>
          <w:bCs/>
          <w:sz w:val="24"/>
          <w:szCs w:val="24"/>
          <w:u w:val="single"/>
          <w:rtl/>
        </w:rPr>
        <w:t>ו</w:t>
      </w:r>
      <w:r>
        <w:rPr>
          <w:rFonts w:ascii="David" w:hAnsi="David" w:cs="David"/>
          <w:b/>
          <w:bCs/>
          <w:sz w:val="24"/>
          <w:szCs w:val="24"/>
          <w:u w:val="single"/>
          <w:rtl/>
        </w:rPr>
        <w:t>עדת החקירה הממלכתית לחקר אסון הר מירון וביחס לכך שלאחר הגשת התביעה אכן שלחה הודעות אזהרה ל</w:t>
      </w:r>
      <w:r w:rsidR="00B24F9B">
        <w:rPr>
          <w:rFonts w:ascii="David" w:hAnsi="David" w:cs="David" w:hint="cs"/>
          <w:b/>
          <w:bCs/>
          <w:sz w:val="24"/>
          <w:szCs w:val="24"/>
          <w:u w:val="single"/>
          <w:rtl/>
        </w:rPr>
        <w:t>אישי</w:t>
      </w:r>
      <w:r>
        <w:rPr>
          <w:rFonts w:ascii="David" w:hAnsi="David" w:cs="David"/>
          <w:b/>
          <w:bCs/>
          <w:sz w:val="24"/>
          <w:szCs w:val="24"/>
          <w:u w:val="single"/>
          <w:rtl/>
        </w:rPr>
        <w:t>ם שונים אך התובע לא היה בין המוזהרים</w:t>
      </w:r>
    </w:p>
    <w:p w:rsidR="00E0607A" w:rsidRDefault="00E0607A" w:rsidP="00E0607A">
      <w:pPr>
        <w:pStyle w:val="ad"/>
        <w:spacing w:line="360" w:lineRule="auto"/>
        <w:ind w:left="395"/>
        <w:jc w:val="both"/>
        <w:rPr>
          <w:rFonts w:ascii="David" w:hAnsi="David" w:cs="David"/>
          <w:b/>
          <w:bCs/>
          <w:sz w:val="24"/>
          <w:szCs w:val="24"/>
          <w:u w:val="single"/>
        </w:rPr>
      </w:pPr>
    </w:p>
    <w:p w:rsidR="00E0607A" w:rsidRDefault="00E0607A" w:rsidP="00E0607A">
      <w:pPr>
        <w:pStyle w:val="ad"/>
        <w:numPr>
          <w:ilvl w:val="0"/>
          <w:numId w:val="5"/>
        </w:numPr>
        <w:spacing w:line="360" w:lineRule="auto"/>
        <w:jc w:val="both"/>
        <w:rPr>
          <w:rFonts w:ascii="David" w:hAnsi="David" w:cs="David"/>
          <w:sz w:val="24"/>
          <w:szCs w:val="24"/>
        </w:rPr>
      </w:pPr>
      <w:r>
        <w:rPr>
          <w:rFonts w:ascii="David" w:hAnsi="David" w:cs="David"/>
          <w:sz w:val="24"/>
          <w:szCs w:val="24"/>
          <w:u w:val="single"/>
          <w:rtl/>
        </w:rPr>
        <w:t>הפרסומים נעשו עוד בטרם הוגשו מסקנות ועדת החקירה ובטרם נשלחו הודעות אזהרה</w:t>
      </w:r>
    </w:p>
    <w:p w:rsidR="00E0607A" w:rsidRDefault="00E0607A" w:rsidP="00B24F9B">
      <w:pPr>
        <w:pStyle w:val="ad"/>
        <w:numPr>
          <w:ilvl w:val="0"/>
          <w:numId w:val="6"/>
        </w:numPr>
        <w:spacing w:line="360" w:lineRule="auto"/>
        <w:jc w:val="both"/>
        <w:rPr>
          <w:rFonts w:ascii="David" w:hAnsi="David" w:cs="David"/>
          <w:sz w:val="24"/>
          <w:szCs w:val="24"/>
        </w:rPr>
      </w:pPr>
      <w:r>
        <w:rPr>
          <w:rFonts w:ascii="David" w:hAnsi="David" w:cs="David"/>
          <w:sz w:val="24"/>
          <w:szCs w:val="24"/>
          <w:rtl/>
        </w:rPr>
        <w:t xml:space="preserve">כפי שעוד יורחב בהמשך, </w:t>
      </w:r>
      <w:r w:rsidR="00B24F9B">
        <w:rPr>
          <w:rFonts w:ascii="David" w:hAnsi="David" w:cs="David" w:hint="cs"/>
          <w:sz w:val="24"/>
          <w:szCs w:val="24"/>
          <w:rtl/>
        </w:rPr>
        <w:t>קיימת</w:t>
      </w:r>
      <w:r>
        <w:rPr>
          <w:rFonts w:ascii="David" w:hAnsi="David" w:cs="David"/>
          <w:sz w:val="24"/>
          <w:szCs w:val="24"/>
          <w:rtl/>
        </w:rPr>
        <w:t xml:space="preserve"> מורכבות באמירה לפיה </w:t>
      </w:r>
      <w:r>
        <w:rPr>
          <w:rFonts w:ascii="David" w:hAnsi="David" w:cs="David"/>
          <w:b/>
          <w:bCs/>
          <w:sz w:val="24"/>
          <w:szCs w:val="24"/>
          <w:rtl/>
        </w:rPr>
        <w:t>"דמם של 45 נספי מירון מרוח על ידיו"</w:t>
      </w:r>
      <w:r>
        <w:rPr>
          <w:rFonts w:ascii="David" w:hAnsi="David" w:cs="David"/>
          <w:sz w:val="24"/>
          <w:szCs w:val="24"/>
          <w:rtl/>
        </w:rPr>
        <w:t xml:space="preserve"> של התובע. אמירה כזו עלולה לייחס לתובע אחריות ישירה למותם של 45 נספי מירון, </w:t>
      </w:r>
      <w:r>
        <w:rPr>
          <w:rFonts w:ascii="David" w:hAnsi="David" w:cs="David"/>
          <w:sz w:val="24"/>
          <w:szCs w:val="24"/>
          <w:rtl/>
        </w:rPr>
        <w:lastRenderedPageBreak/>
        <w:t>כאשר אחריות כזו כלל לא נקבעה</w:t>
      </w:r>
      <w:r w:rsidR="00B24F9B">
        <w:rPr>
          <w:rFonts w:ascii="David" w:hAnsi="David" w:cs="David" w:hint="cs"/>
          <w:sz w:val="24"/>
          <w:szCs w:val="24"/>
          <w:rtl/>
        </w:rPr>
        <w:t xml:space="preserve">. לא </w:t>
      </w:r>
      <w:r>
        <w:rPr>
          <w:rFonts w:ascii="David" w:hAnsi="David" w:cs="David"/>
          <w:sz w:val="24"/>
          <w:szCs w:val="24"/>
          <w:rtl/>
        </w:rPr>
        <w:t xml:space="preserve">על ידי בתי המשפט </w:t>
      </w:r>
      <w:r w:rsidR="00B24F9B">
        <w:rPr>
          <w:rFonts w:ascii="David" w:hAnsi="David" w:cs="David" w:hint="cs"/>
          <w:sz w:val="24"/>
          <w:szCs w:val="24"/>
          <w:rtl/>
        </w:rPr>
        <w:t>ו</w:t>
      </w:r>
      <w:r>
        <w:rPr>
          <w:rFonts w:ascii="David" w:hAnsi="David" w:cs="David"/>
          <w:sz w:val="24"/>
          <w:szCs w:val="24"/>
          <w:rtl/>
        </w:rPr>
        <w:t>לא על ידי ועדת החקירה הממלכתית לחקר אסון הר מירון.</w:t>
      </w:r>
    </w:p>
    <w:p w:rsidR="00E0607A" w:rsidRDefault="00E0607A" w:rsidP="00E0607A">
      <w:pPr>
        <w:pStyle w:val="ad"/>
        <w:spacing w:line="360" w:lineRule="auto"/>
        <w:ind w:left="755"/>
        <w:jc w:val="both"/>
        <w:rPr>
          <w:rFonts w:ascii="David" w:hAnsi="David" w:cs="David"/>
          <w:sz w:val="24"/>
          <w:szCs w:val="24"/>
        </w:rPr>
      </w:pPr>
    </w:p>
    <w:p w:rsidR="00E0607A" w:rsidRDefault="00E0607A" w:rsidP="00B24F9B">
      <w:pPr>
        <w:pStyle w:val="ad"/>
        <w:numPr>
          <w:ilvl w:val="0"/>
          <w:numId w:val="6"/>
        </w:numPr>
        <w:spacing w:line="360" w:lineRule="auto"/>
        <w:jc w:val="both"/>
        <w:rPr>
          <w:rFonts w:ascii="David" w:hAnsi="David" w:cs="David"/>
          <w:sz w:val="24"/>
          <w:szCs w:val="24"/>
        </w:rPr>
      </w:pPr>
      <w:r>
        <w:rPr>
          <w:rFonts w:ascii="David" w:hAnsi="David" w:cs="David"/>
          <w:sz w:val="24"/>
          <w:szCs w:val="24"/>
          <w:rtl/>
        </w:rPr>
        <w:t xml:space="preserve">אין חולק על כך שבעת הפרסומים לא נקבעה כל אחריות המיוחסת לתובע. אדגיש שאפילו היה נקבע בדיעבד שהתובע אכן אחראי לאסון בו נספו ארבעים וחמישה בני אדם, עדיין היה צורך לדון בשאלה מה דינו של פרסום </w:t>
      </w:r>
      <w:r w:rsidR="00B24F9B">
        <w:rPr>
          <w:rFonts w:ascii="David" w:hAnsi="David" w:cs="David" w:hint="cs"/>
          <w:sz w:val="24"/>
          <w:szCs w:val="24"/>
          <w:rtl/>
        </w:rPr>
        <w:t xml:space="preserve">מוקדם </w:t>
      </w:r>
      <w:r>
        <w:rPr>
          <w:rFonts w:ascii="David" w:hAnsi="David" w:cs="David"/>
          <w:sz w:val="24"/>
          <w:szCs w:val="24"/>
          <w:rtl/>
        </w:rPr>
        <w:t>המייחס</w:t>
      </w:r>
      <w:r w:rsidR="00B24F9B">
        <w:rPr>
          <w:rFonts w:ascii="David" w:hAnsi="David" w:cs="David" w:hint="cs"/>
          <w:sz w:val="24"/>
          <w:szCs w:val="24"/>
          <w:rtl/>
        </w:rPr>
        <w:t xml:space="preserve"> לפלוני</w:t>
      </w:r>
      <w:r>
        <w:rPr>
          <w:rFonts w:ascii="David" w:hAnsi="David" w:cs="David"/>
          <w:sz w:val="24"/>
          <w:szCs w:val="24"/>
          <w:rtl/>
        </w:rPr>
        <w:t xml:space="preserve"> אחריות פלילית, </w:t>
      </w:r>
      <w:r w:rsidRPr="00B24F9B">
        <w:rPr>
          <w:rFonts w:ascii="David" w:hAnsi="David" w:cs="David"/>
          <w:sz w:val="24"/>
          <w:szCs w:val="24"/>
          <w:u w:val="single"/>
          <w:rtl/>
        </w:rPr>
        <w:t>בטרם</w:t>
      </w:r>
      <w:r>
        <w:rPr>
          <w:rFonts w:ascii="David" w:hAnsi="David" w:cs="David"/>
          <w:sz w:val="24"/>
          <w:szCs w:val="24"/>
          <w:rtl/>
        </w:rPr>
        <w:t xml:space="preserve"> נקבע כך מבחינה משפטית.</w:t>
      </w:r>
    </w:p>
    <w:p w:rsidR="00E0607A" w:rsidRDefault="00E0607A" w:rsidP="00E0607A">
      <w:pPr>
        <w:pStyle w:val="ad"/>
        <w:rPr>
          <w:rFonts w:ascii="David" w:hAnsi="David" w:cs="David"/>
          <w:sz w:val="24"/>
          <w:szCs w:val="24"/>
        </w:rPr>
      </w:pPr>
    </w:p>
    <w:p w:rsidR="00E0607A" w:rsidRDefault="00E0607A" w:rsidP="006A60F8">
      <w:pPr>
        <w:pStyle w:val="ad"/>
        <w:numPr>
          <w:ilvl w:val="0"/>
          <w:numId w:val="5"/>
        </w:numPr>
        <w:spacing w:line="360" w:lineRule="auto"/>
        <w:jc w:val="both"/>
        <w:rPr>
          <w:rFonts w:ascii="David" w:hAnsi="David" w:cs="David"/>
          <w:sz w:val="24"/>
          <w:szCs w:val="24"/>
          <w:u w:val="single"/>
          <w:rtl/>
        </w:rPr>
      </w:pPr>
      <w:r>
        <w:rPr>
          <w:rFonts w:ascii="David" w:hAnsi="David" w:cs="David"/>
          <w:sz w:val="24"/>
          <w:szCs w:val="24"/>
          <w:u w:val="single"/>
          <w:rtl/>
        </w:rPr>
        <w:t>הודעות האזהרה</w:t>
      </w:r>
      <w:r w:rsidR="00C1755C">
        <w:rPr>
          <w:rFonts w:ascii="David" w:hAnsi="David" w:cs="David" w:hint="cs"/>
          <w:sz w:val="24"/>
          <w:szCs w:val="24"/>
          <w:u w:val="single"/>
          <w:rtl/>
        </w:rPr>
        <w:t xml:space="preserve"> נשלחה </w:t>
      </w:r>
      <w:r>
        <w:rPr>
          <w:rFonts w:ascii="David" w:hAnsi="David" w:cs="David"/>
          <w:sz w:val="24"/>
          <w:szCs w:val="24"/>
          <w:u w:val="single"/>
          <w:rtl/>
        </w:rPr>
        <w:t>ל</w:t>
      </w:r>
      <w:r w:rsidR="00C1755C">
        <w:rPr>
          <w:rFonts w:ascii="David" w:hAnsi="David" w:cs="David" w:hint="cs"/>
          <w:sz w:val="24"/>
          <w:szCs w:val="24"/>
          <w:u w:val="single"/>
          <w:rtl/>
        </w:rPr>
        <w:t xml:space="preserve">שורה של מוזהרים כאשר התובע אינו אחד </w:t>
      </w:r>
      <w:r w:rsidR="006A60F8">
        <w:rPr>
          <w:rFonts w:ascii="David" w:hAnsi="David" w:cs="David" w:hint="cs"/>
          <w:sz w:val="24"/>
          <w:szCs w:val="24"/>
          <w:u w:val="single"/>
          <w:rtl/>
        </w:rPr>
        <w:t>מהם</w:t>
      </w:r>
    </w:p>
    <w:p w:rsidR="00E0607A" w:rsidRDefault="00E0607A" w:rsidP="00E0607A">
      <w:pPr>
        <w:pStyle w:val="ad"/>
        <w:numPr>
          <w:ilvl w:val="0"/>
          <w:numId w:val="6"/>
        </w:numPr>
        <w:spacing w:line="360" w:lineRule="auto"/>
        <w:jc w:val="both"/>
        <w:rPr>
          <w:rFonts w:ascii="David" w:hAnsi="David" w:cs="David"/>
          <w:sz w:val="24"/>
          <w:szCs w:val="24"/>
        </w:rPr>
      </w:pPr>
      <w:r>
        <w:rPr>
          <w:rFonts w:ascii="David" w:hAnsi="David" w:cs="David"/>
          <w:sz w:val="24"/>
          <w:szCs w:val="24"/>
          <w:rtl/>
        </w:rPr>
        <w:t>לאחר הגשת התביעה ועוד טרם הדיון הראשון שלחה ועדת החקירה הממלכתית לחקר אסון הר מירון הודעות אזהרה בהתאם לסעיף 15 ל</w:t>
      </w:r>
      <w:r w:rsidRPr="00B24F9B">
        <w:rPr>
          <w:rFonts w:ascii="David" w:hAnsi="David" w:cs="David"/>
          <w:sz w:val="24"/>
          <w:szCs w:val="24"/>
          <w:u w:val="single"/>
          <w:rtl/>
        </w:rPr>
        <w:t>חוק ועדות חקירה</w:t>
      </w:r>
      <w:r>
        <w:rPr>
          <w:rFonts w:ascii="David" w:hAnsi="David" w:cs="David"/>
          <w:sz w:val="24"/>
          <w:szCs w:val="24"/>
          <w:rtl/>
        </w:rPr>
        <w:t xml:space="preserve">, תשכ"ט – 1968. ההודעות נשלחו לשורה של אישים אשר עלולים להיפגע מהחקירה או תוצאותיה. התובע </w:t>
      </w:r>
      <w:r>
        <w:rPr>
          <w:rFonts w:ascii="David" w:hAnsi="David" w:cs="David"/>
          <w:sz w:val="24"/>
          <w:szCs w:val="24"/>
          <w:u w:val="single"/>
          <w:rtl/>
        </w:rPr>
        <w:t>לא</w:t>
      </w:r>
      <w:r>
        <w:rPr>
          <w:rFonts w:ascii="David" w:hAnsi="David" w:cs="David"/>
          <w:sz w:val="24"/>
          <w:szCs w:val="24"/>
          <w:rtl/>
        </w:rPr>
        <w:t xml:space="preserve"> היה בין האישים שקיבלו הודעות אזהרה.</w:t>
      </w:r>
    </w:p>
    <w:p w:rsidR="00E0607A" w:rsidRDefault="00E0607A" w:rsidP="00E0607A">
      <w:pPr>
        <w:pStyle w:val="ad"/>
        <w:spacing w:line="360" w:lineRule="auto"/>
        <w:ind w:left="1115"/>
        <w:jc w:val="both"/>
        <w:rPr>
          <w:rFonts w:ascii="David" w:hAnsi="David" w:cs="David"/>
          <w:sz w:val="24"/>
          <w:szCs w:val="24"/>
        </w:rPr>
      </w:pPr>
    </w:p>
    <w:p w:rsidR="00E0607A" w:rsidRDefault="00E0607A" w:rsidP="00E0607A">
      <w:pPr>
        <w:pStyle w:val="ad"/>
        <w:numPr>
          <w:ilvl w:val="0"/>
          <w:numId w:val="6"/>
        </w:numPr>
        <w:spacing w:line="360" w:lineRule="auto"/>
        <w:jc w:val="both"/>
        <w:rPr>
          <w:rFonts w:ascii="David" w:hAnsi="David" w:cs="David"/>
          <w:sz w:val="24"/>
          <w:szCs w:val="24"/>
        </w:rPr>
      </w:pPr>
      <w:r>
        <w:rPr>
          <w:rFonts w:ascii="David" w:hAnsi="David" w:cs="David"/>
          <w:sz w:val="24"/>
          <w:szCs w:val="24"/>
          <w:rtl/>
        </w:rPr>
        <w:t xml:space="preserve">ובמילים פשוטות, הטריבונל השיפוטי אשר הוקם לבחון את אסון הר מירון, לא מצא שיש להעביר את התובע אל "השלב השני" של החקירה. שלב בו הוא עלול להימצא אחראי לאסון או להיבטים שונים המתייחסים אליו.  </w:t>
      </w:r>
    </w:p>
    <w:p w:rsidR="00E0607A" w:rsidRDefault="00E0607A" w:rsidP="00E0607A">
      <w:pPr>
        <w:pStyle w:val="ad"/>
        <w:spacing w:line="360" w:lineRule="auto"/>
        <w:ind w:left="395"/>
        <w:jc w:val="both"/>
        <w:rPr>
          <w:rFonts w:ascii="David" w:hAnsi="David" w:cs="David"/>
          <w:b/>
          <w:bCs/>
          <w:sz w:val="24"/>
          <w:szCs w:val="24"/>
          <w:u w:val="single"/>
          <w:rtl/>
        </w:rPr>
      </w:pPr>
    </w:p>
    <w:p w:rsidR="00E0607A" w:rsidRDefault="00E0607A" w:rsidP="00E0607A">
      <w:pPr>
        <w:pStyle w:val="ad"/>
        <w:numPr>
          <w:ilvl w:val="1"/>
          <w:numId w:val="1"/>
        </w:numPr>
        <w:spacing w:line="360" w:lineRule="auto"/>
        <w:ind w:left="395" w:hanging="567"/>
        <w:jc w:val="both"/>
        <w:rPr>
          <w:rFonts w:ascii="David" w:hAnsi="David" w:cs="David"/>
          <w:b/>
          <w:bCs/>
          <w:sz w:val="24"/>
          <w:szCs w:val="24"/>
          <w:u w:val="single"/>
        </w:rPr>
      </w:pPr>
      <w:r>
        <w:rPr>
          <w:rFonts w:ascii="David" w:hAnsi="David" w:cs="David"/>
          <w:b/>
          <w:bCs/>
          <w:sz w:val="24"/>
          <w:szCs w:val="24"/>
          <w:u w:val="single"/>
          <w:rtl/>
        </w:rPr>
        <w:t>תוצאת פסק הדין</w:t>
      </w:r>
    </w:p>
    <w:p w:rsidR="00E0607A" w:rsidRDefault="00E0607A" w:rsidP="00E0607A">
      <w:pPr>
        <w:pStyle w:val="ad"/>
        <w:spacing w:line="360" w:lineRule="auto"/>
        <w:ind w:left="395"/>
        <w:jc w:val="both"/>
        <w:rPr>
          <w:rFonts w:ascii="David" w:hAnsi="David" w:cs="David"/>
          <w:sz w:val="24"/>
          <w:szCs w:val="24"/>
        </w:rPr>
      </w:pPr>
      <w:r>
        <w:rPr>
          <w:rFonts w:ascii="David" w:hAnsi="David" w:cs="David"/>
          <w:sz w:val="24"/>
          <w:szCs w:val="24"/>
          <w:rtl/>
        </w:rPr>
        <w:t>כבר בשלב זה אציין שבסיומו של פסק הדין ייקבע ביחס לשני הפרסומים כדלקמן:</w:t>
      </w:r>
    </w:p>
    <w:p w:rsidR="00E0607A" w:rsidRDefault="00E0607A" w:rsidP="00E0607A">
      <w:pPr>
        <w:pStyle w:val="ad"/>
        <w:spacing w:line="360" w:lineRule="auto"/>
        <w:ind w:left="395"/>
        <w:jc w:val="both"/>
        <w:rPr>
          <w:rFonts w:ascii="David" w:hAnsi="David" w:cs="David"/>
          <w:sz w:val="24"/>
          <w:szCs w:val="24"/>
          <w:rtl/>
        </w:rPr>
      </w:pPr>
    </w:p>
    <w:p w:rsidR="00E0607A" w:rsidRDefault="00E0607A" w:rsidP="00E0607A">
      <w:pPr>
        <w:pStyle w:val="ad"/>
        <w:numPr>
          <w:ilvl w:val="0"/>
          <w:numId w:val="7"/>
        </w:numPr>
        <w:spacing w:line="360" w:lineRule="auto"/>
        <w:jc w:val="both"/>
        <w:rPr>
          <w:rFonts w:ascii="David" w:hAnsi="David" w:cs="David"/>
          <w:sz w:val="24"/>
          <w:szCs w:val="24"/>
          <w:rtl/>
        </w:rPr>
      </w:pPr>
      <w:r>
        <w:rPr>
          <w:rFonts w:ascii="David" w:hAnsi="David" w:cs="David"/>
          <w:sz w:val="24"/>
          <w:szCs w:val="24"/>
          <w:u w:val="single"/>
          <w:rtl/>
        </w:rPr>
        <w:t>ביחס לפרסום הראשון</w:t>
      </w:r>
      <w:r>
        <w:rPr>
          <w:rFonts w:ascii="David" w:hAnsi="David" w:cs="David"/>
          <w:sz w:val="24"/>
          <w:szCs w:val="24"/>
          <w:rtl/>
        </w:rPr>
        <w:t xml:space="preserve"> (ר' הפרסום בסעיף 1.2(א) לעיל)  – האמירה המתייחסת לתובע כמי </w:t>
      </w:r>
      <w:r>
        <w:rPr>
          <w:rFonts w:ascii="David" w:hAnsi="David" w:cs="David"/>
          <w:b/>
          <w:bCs/>
          <w:sz w:val="24"/>
          <w:szCs w:val="24"/>
          <w:rtl/>
        </w:rPr>
        <w:t>"שדמם של 45 נספי מירון מרוח על ידיו"</w:t>
      </w:r>
      <w:r>
        <w:rPr>
          <w:rFonts w:ascii="David" w:hAnsi="David" w:cs="David"/>
          <w:sz w:val="24"/>
          <w:szCs w:val="24"/>
          <w:rtl/>
        </w:rPr>
        <w:t xml:space="preserve"> היא אמירה מכפישה. האמירה היא בגדר הוצאת לשון הרע שאינה מוגנת ויש לחייב את הנתבע בסעדים בגינה. על כך יורחב בסעיף 3 לפסק הדין.  </w:t>
      </w:r>
    </w:p>
    <w:p w:rsidR="00E0607A" w:rsidRDefault="00E0607A" w:rsidP="00E0607A">
      <w:pPr>
        <w:pStyle w:val="ad"/>
        <w:spacing w:line="360" w:lineRule="auto"/>
        <w:ind w:left="755"/>
        <w:jc w:val="both"/>
        <w:rPr>
          <w:rFonts w:ascii="David" w:hAnsi="David" w:cs="David"/>
          <w:sz w:val="24"/>
          <w:szCs w:val="24"/>
        </w:rPr>
      </w:pPr>
    </w:p>
    <w:p w:rsidR="00E0607A" w:rsidRDefault="00E0607A" w:rsidP="00776AD1">
      <w:pPr>
        <w:pStyle w:val="ad"/>
        <w:numPr>
          <w:ilvl w:val="0"/>
          <w:numId w:val="7"/>
        </w:numPr>
        <w:spacing w:line="360" w:lineRule="auto"/>
        <w:jc w:val="both"/>
        <w:rPr>
          <w:rFonts w:ascii="David" w:hAnsi="David" w:cs="David"/>
          <w:sz w:val="24"/>
          <w:szCs w:val="24"/>
        </w:rPr>
      </w:pPr>
      <w:r>
        <w:rPr>
          <w:rFonts w:ascii="David" w:hAnsi="David" w:cs="David"/>
          <w:sz w:val="24"/>
          <w:szCs w:val="24"/>
          <w:u w:val="single"/>
          <w:rtl/>
        </w:rPr>
        <w:t>ביחס לפרסום השני</w:t>
      </w:r>
      <w:r>
        <w:rPr>
          <w:rFonts w:ascii="David" w:hAnsi="David" w:cs="David"/>
          <w:sz w:val="24"/>
          <w:szCs w:val="24"/>
          <w:rtl/>
        </w:rPr>
        <w:t xml:space="preserve">  (ר' הפרסום בסעיף 1.2(ב) לעיל)  –  האמירות בפרסום מתייחסות לתיאור עיתונאי של מצב דברים נתון והתייחסות לעדויות שכנטען נשמעו בפני "ועדת החקירה הממלכתית לחקר אסון הר מירון". בנסיבות הענין אין לראות באמירות אלה כהוצאת לשון הרע, בוודאי אין</w:t>
      </w:r>
      <w:r w:rsidR="00C57266">
        <w:rPr>
          <w:rFonts w:ascii="David" w:hAnsi="David" w:cs="David" w:hint="cs"/>
          <w:sz w:val="24"/>
          <w:szCs w:val="24"/>
          <w:rtl/>
        </w:rPr>
        <w:t xml:space="preserve"> לה</w:t>
      </w:r>
      <w:r w:rsidR="00776AD1">
        <w:rPr>
          <w:rFonts w:ascii="David" w:hAnsi="David" w:cs="David" w:hint="cs"/>
          <w:sz w:val="24"/>
          <w:szCs w:val="24"/>
          <w:rtl/>
        </w:rPr>
        <w:t>ס</w:t>
      </w:r>
      <w:r w:rsidR="00C57266">
        <w:rPr>
          <w:rFonts w:ascii="David" w:hAnsi="David" w:cs="David" w:hint="cs"/>
          <w:sz w:val="24"/>
          <w:szCs w:val="24"/>
          <w:rtl/>
        </w:rPr>
        <w:t>יג את גבולה של וועדת החקירה,</w:t>
      </w:r>
      <w:r>
        <w:rPr>
          <w:rFonts w:ascii="David" w:hAnsi="David" w:cs="David"/>
          <w:sz w:val="24"/>
          <w:szCs w:val="24"/>
          <w:rtl/>
        </w:rPr>
        <w:t xml:space="preserve"> ל</w:t>
      </w:r>
      <w:r w:rsidR="00C57266">
        <w:rPr>
          <w:rFonts w:ascii="David" w:hAnsi="David" w:cs="David" w:hint="cs"/>
          <w:sz w:val="24"/>
          <w:szCs w:val="24"/>
          <w:rtl/>
        </w:rPr>
        <w:t>בדוק את כלל ה</w:t>
      </w:r>
      <w:r>
        <w:rPr>
          <w:rFonts w:ascii="David" w:hAnsi="David" w:cs="David"/>
          <w:sz w:val="24"/>
          <w:szCs w:val="24"/>
          <w:rtl/>
        </w:rPr>
        <w:t xml:space="preserve">עדויות </w:t>
      </w:r>
      <w:r w:rsidR="00C57266">
        <w:rPr>
          <w:rFonts w:ascii="David" w:hAnsi="David" w:cs="David" w:hint="cs"/>
          <w:sz w:val="24"/>
          <w:szCs w:val="24"/>
          <w:rtl/>
        </w:rPr>
        <w:t xml:space="preserve">והראיות שהוצגו </w:t>
      </w:r>
      <w:r>
        <w:rPr>
          <w:rFonts w:ascii="David" w:hAnsi="David" w:cs="David"/>
          <w:sz w:val="24"/>
          <w:szCs w:val="24"/>
          <w:rtl/>
        </w:rPr>
        <w:t xml:space="preserve">ולקבוע קביעות שהן בסמכות אותה וועדה. על כל אלה יורחב בסעיף 4 לפסק הדין.  </w:t>
      </w:r>
    </w:p>
    <w:p w:rsidR="00E0607A" w:rsidRDefault="00E0607A" w:rsidP="00E0607A">
      <w:pPr>
        <w:pStyle w:val="ad"/>
        <w:spacing w:line="360" w:lineRule="auto"/>
        <w:jc w:val="both"/>
        <w:rPr>
          <w:rFonts w:ascii="David" w:hAnsi="David" w:cs="David"/>
          <w:sz w:val="24"/>
          <w:szCs w:val="24"/>
          <w:u w:val="single"/>
          <w:rtl/>
        </w:rPr>
      </w:pPr>
    </w:p>
    <w:p w:rsidR="00E0607A" w:rsidRDefault="00E0607A" w:rsidP="00E0607A">
      <w:pPr>
        <w:pStyle w:val="ad"/>
        <w:numPr>
          <w:ilvl w:val="0"/>
          <w:numId w:val="1"/>
        </w:numPr>
        <w:spacing w:line="360" w:lineRule="auto"/>
        <w:ind w:left="-172" w:hanging="284"/>
        <w:jc w:val="both"/>
        <w:rPr>
          <w:rFonts w:ascii="David" w:hAnsi="David" w:cs="David"/>
          <w:sz w:val="24"/>
          <w:szCs w:val="24"/>
          <w:u w:val="single"/>
        </w:rPr>
      </w:pPr>
      <w:r>
        <w:rPr>
          <w:rFonts w:ascii="David" w:hAnsi="David" w:cs="David"/>
          <w:b/>
          <w:bCs/>
          <w:sz w:val="24"/>
          <w:szCs w:val="24"/>
          <w:u w:val="single"/>
          <w:rtl/>
        </w:rPr>
        <w:t>תמצית טענות הצדדים</w:t>
      </w:r>
    </w:p>
    <w:p w:rsidR="00E0607A" w:rsidRDefault="00E0607A" w:rsidP="00E0607A">
      <w:pPr>
        <w:pStyle w:val="ad"/>
        <w:numPr>
          <w:ilvl w:val="1"/>
          <w:numId w:val="1"/>
        </w:numPr>
        <w:spacing w:line="360" w:lineRule="auto"/>
        <w:ind w:left="395" w:hanging="567"/>
        <w:jc w:val="both"/>
        <w:rPr>
          <w:rFonts w:ascii="David" w:hAnsi="David" w:cs="David"/>
          <w:sz w:val="24"/>
          <w:szCs w:val="24"/>
          <w:u w:val="single"/>
          <w:rtl/>
        </w:rPr>
      </w:pPr>
      <w:r>
        <w:rPr>
          <w:rFonts w:ascii="David" w:hAnsi="David" w:cs="David"/>
          <w:b/>
          <w:bCs/>
          <w:sz w:val="24"/>
          <w:szCs w:val="24"/>
          <w:u w:val="single"/>
          <w:rtl/>
        </w:rPr>
        <w:t>תמצית טענות התובע</w:t>
      </w:r>
    </w:p>
    <w:p w:rsidR="00E0607A" w:rsidRDefault="00E0607A" w:rsidP="00776AD1">
      <w:pPr>
        <w:pStyle w:val="ad"/>
        <w:numPr>
          <w:ilvl w:val="0"/>
          <w:numId w:val="8"/>
        </w:numPr>
        <w:spacing w:line="360" w:lineRule="auto"/>
        <w:jc w:val="both"/>
        <w:rPr>
          <w:rFonts w:ascii="David" w:hAnsi="David" w:cs="David"/>
          <w:sz w:val="24"/>
          <w:szCs w:val="24"/>
        </w:rPr>
      </w:pPr>
      <w:r>
        <w:rPr>
          <w:rFonts w:ascii="David" w:hAnsi="David" w:cs="David"/>
          <w:sz w:val="24"/>
          <w:szCs w:val="24"/>
          <w:rtl/>
        </w:rPr>
        <w:t xml:space="preserve">התובע ציין שביום 17/12/2021 פרסם הנתבע במסגרת טור קבוע במהדורת יום שישי של עיתון "מעריב", מאמר ובו כתב ביחס לתובע כך: </w:t>
      </w:r>
      <w:r>
        <w:rPr>
          <w:rFonts w:ascii="David" w:hAnsi="David" w:cs="David"/>
          <w:b/>
          <w:bCs/>
          <w:sz w:val="24"/>
          <w:szCs w:val="24"/>
          <w:rtl/>
        </w:rPr>
        <w:t xml:space="preserve">"דרעי, עבריין מורשע שדמם של 45 נספי אסון מירון מרוח על ידיו". </w:t>
      </w:r>
      <w:r>
        <w:rPr>
          <w:rFonts w:ascii="David" w:hAnsi="David" w:cs="David"/>
          <w:sz w:val="24"/>
          <w:szCs w:val="24"/>
          <w:rtl/>
        </w:rPr>
        <w:t xml:space="preserve">אמירה שהיא הוצאת לשון הרע </w:t>
      </w:r>
      <w:r w:rsidR="00776AD1">
        <w:rPr>
          <w:rFonts w:ascii="David" w:hAnsi="David" w:cs="David" w:hint="cs"/>
          <w:sz w:val="24"/>
          <w:szCs w:val="24"/>
          <w:rtl/>
        </w:rPr>
        <w:t xml:space="preserve">תוך כוונה </w:t>
      </w:r>
      <w:r>
        <w:rPr>
          <w:rFonts w:ascii="David" w:hAnsi="David" w:cs="David"/>
          <w:sz w:val="24"/>
          <w:szCs w:val="24"/>
          <w:rtl/>
        </w:rPr>
        <w:t>לפגוע בתובע ובשמו הטוב.</w:t>
      </w:r>
    </w:p>
    <w:p w:rsidR="00E0607A" w:rsidRDefault="00E0607A" w:rsidP="00E0607A">
      <w:pPr>
        <w:pStyle w:val="ad"/>
        <w:rPr>
          <w:rFonts w:ascii="David" w:hAnsi="David" w:cs="David"/>
          <w:sz w:val="24"/>
          <w:szCs w:val="24"/>
        </w:rPr>
      </w:pPr>
    </w:p>
    <w:p w:rsidR="00E0607A" w:rsidRDefault="00E0607A" w:rsidP="00776AD1">
      <w:pPr>
        <w:pStyle w:val="ad"/>
        <w:numPr>
          <w:ilvl w:val="0"/>
          <w:numId w:val="8"/>
        </w:numPr>
        <w:spacing w:line="360" w:lineRule="auto"/>
        <w:jc w:val="both"/>
        <w:rPr>
          <w:rFonts w:ascii="David" w:hAnsi="David" w:cs="David"/>
          <w:sz w:val="24"/>
          <w:szCs w:val="24"/>
          <w:rtl/>
        </w:rPr>
      </w:pPr>
      <w:r>
        <w:rPr>
          <w:rFonts w:ascii="David" w:hAnsi="David" w:cs="David"/>
          <w:sz w:val="24"/>
          <w:szCs w:val="24"/>
          <w:rtl/>
        </w:rPr>
        <w:t xml:space="preserve">התובע </w:t>
      </w:r>
      <w:r w:rsidR="00776AD1">
        <w:rPr>
          <w:rFonts w:ascii="David" w:hAnsi="David" w:cs="David" w:hint="cs"/>
          <w:sz w:val="24"/>
          <w:szCs w:val="24"/>
          <w:rtl/>
        </w:rPr>
        <w:t>הפנה לכך ש</w:t>
      </w:r>
      <w:r>
        <w:rPr>
          <w:rFonts w:ascii="David" w:hAnsi="David" w:cs="David"/>
          <w:sz w:val="24"/>
          <w:szCs w:val="24"/>
          <w:rtl/>
        </w:rPr>
        <w:t>הנתבע בחר לעשות שימוש במ</w:t>
      </w:r>
      <w:r w:rsidR="00776AD1">
        <w:rPr>
          <w:rFonts w:ascii="David" w:hAnsi="David" w:cs="David" w:hint="cs"/>
          <w:sz w:val="24"/>
          <w:szCs w:val="24"/>
          <w:rtl/>
        </w:rPr>
        <w:t>ילים</w:t>
      </w:r>
      <w:r>
        <w:rPr>
          <w:rFonts w:ascii="David" w:hAnsi="David" w:cs="David"/>
          <w:sz w:val="24"/>
          <w:szCs w:val="24"/>
          <w:rtl/>
        </w:rPr>
        <w:t xml:space="preserve"> "עבריין מורשע" אף שהוא ריצה את עונשו כעשרים שנה לפני </w:t>
      </w:r>
      <w:r w:rsidR="00776AD1">
        <w:rPr>
          <w:rFonts w:ascii="David" w:hAnsi="David" w:cs="David" w:hint="cs"/>
          <w:sz w:val="24"/>
          <w:szCs w:val="24"/>
          <w:rtl/>
        </w:rPr>
        <w:t>הפרסום</w:t>
      </w:r>
      <w:r>
        <w:rPr>
          <w:rFonts w:ascii="David" w:hAnsi="David" w:cs="David"/>
          <w:sz w:val="24"/>
          <w:szCs w:val="24"/>
          <w:rtl/>
        </w:rPr>
        <w:t>. לגישתו של התובע, אדם סביר הקורא את המילים עלול לחשוב שהוא</w:t>
      </w:r>
      <w:r w:rsidR="00776AD1">
        <w:rPr>
          <w:rFonts w:ascii="David" w:hAnsi="David" w:cs="David" w:hint="cs"/>
          <w:sz w:val="24"/>
          <w:szCs w:val="24"/>
          <w:rtl/>
        </w:rPr>
        <w:t xml:space="preserve"> </w:t>
      </w:r>
      <w:r>
        <w:rPr>
          <w:rFonts w:ascii="David" w:hAnsi="David" w:cs="David"/>
          <w:sz w:val="24"/>
          <w:szCs w:val="24"/>
          <w:rtl/>
        </w:rPr>
        <w:t>הורשע בעניין אסון מירון.</w:t>
      </w:r>
    </w:p>
    <w:p w:rsidR="00E0607A" w:rsidRDefault="00E0607A" w:rsidP="00E0607A">
      <w:pPr>
        <w:pStyle w:val="ad"/>
        <w:rPr>
          <w:rFonts w:ascii="David" w:hAnsi="David" w:cs="David"/>
          <w:sz w:val="24"/>
          <w:szCs w:val="24"/>
        </w:rPr>
      </w:pPr>
    </w:p>
    <w:p w:rsidR="00E0607A" w:rsidRDefault="00E0607A" w:rsidP="00724B54">
      <w:pPr>
        <w:pStyle w:val="ad"/>
        <w:numPr>
          <w:ilvl w:val="0"/>
          <w:numId w:val="8"/>
        </w:numPr>
        <w:spacing w:line="360" w:lineRule="auto"/>
        <w:jc w:val="both"/>
        <w:rPr>
          <w:rFonts w:ascii="David" w:hAnsi="David" w:cs="David"/>
          <w:sz w:val="24"/>
          <w:szCs w:val="24"/>
          <w:rtl/>
        </w:rPr>
      </w:pPr>
      <w:r>
        <w:rPr>
          <w:rFonts w:ascii="David" w:hAnsi="David" w:cs="David"/>
          <w:sz w:val="24"/>
          <w:szCs w:val="24"/>
          <w:rtl/>
        </w:rPr>
        <w:t>באשר לביטוי "דם על הידיים" ציין התובע כי ביטוי זה שגור כיום כאשר דנים בשחרור מחבלים</w:t>
      </w:r>
      <w:r w:rsidR="00776AD1">
        <w:rPr>
          <w:rFonts w:ascii="David" w:hAnsi="David" w:cs="David" w:hint="cs"/>
          <w:sz w:val="24"/>
          <w:szCs w:val="24"/>
          <w:rtl/>
        </w:rPr>
        <w:t xml:space="preserve"> ומתארים </w:t>
      </w:r>
      <w:r>
        <w:rPr>
          <w:rFonts w:ascii="David" w:hAnsi="David" w:cs="David"/>
          <w:sz w:val="24"/>
          <w:szCs w:val="24"/>
          <w:rtl/>
        </w:rPr>
        <w:t xml:space="preserve">את המחבלים הקשים והנוראים ביותר. </w:t>
      </w:r>
      <w:r w:rsidR="00724B54">
        <w:rPr>
          <w:rFonts w:ascii="David" w:hAnsi="David" w:cs="David" w:hint="cs"/>
          <w:sz w:val="24"/>
          <w:szCs w:val="24"/>
          <w:rtl/>
        </w:rPr>
        <w:t xml:space="preserve">לדברי התובע, במילים </w:t>
      </w:r>
      <w:r>
        <w:rPr>
          <w:rFonts w:ascii="David" w:hAnsi="David" w:cs="David"/>
          <w:b/>
          <w:bCs/>
          <w:sz w:val="24"/>
          <w:szCs w:val="24"/>
          <w:rtl/>
        </w:rPr>
        <w:t>"דרעי, עבריין מורשע שדמם של 45 נספי אסון מירון מרוח על ידיו"</w:t>
      </w:r>
      <w:r>
        <w:rPr>
          <w:rFonts w:ascii="David" w:hAnsi="David" w:cs="David"/>
          <w:sz w:val="24"/>
          <w:szCs w:val="24"/>
          <w:rtl/>
        </w:rPr>
        <w:t xml:space="preserve"> הוציא הנתבע דיבה וביקש לפגוע בו באופן ברור. </w:t>
      </w:r>
    </w:p>
    <w:p w:rsidR="00E0607A" w:rsidRDefault="00E0607A" w:rsidP="00E0607A">
      <w:pPr>
        <w:pStyle w:val="ad"/>
        <w:spacing w:line="360" w:lineRule="auto"/>
        <w:ind w:left="755"/>
        <w:jc w:val="both"/>
        <w:rPr>
          <w:rFonts w:ascii="David" w:hAnsi="David" w:cs="David"/>
          <w:sz w:val="24"/>
          <w:szCs w:val="24"/>
        </w:rPr>
      </w:pPr>
    </w:p>
    <w:p w:rsidR="00E0607A" w:rsidRDefault="00E0607A" w:rsidP="00E0607A">
      <w:pPr>
        <w:pStyle w:val="ad"/>
        <w:numPr>
          <w:ilvl w:val="0"/>
          <w:numId w:val="8"/>
        </w:numPr>
        <w:spacing w:line="360" w:lineRule="auto"/>
        <w:jc w:val="both"/>
        <w:rPr>
          <w:rFonts w:ascii="David" w:hAnsi="David" w:cs="David"/>
          <w:sz w:val="24"/>
          <w:szCs w:val="24"/>
        </w:rPr>
      </w:pPr>
      <w:r>
        <w:rPr>
          <w:rFonts w:ascii="David" w:hAnsi="David" w:cs="David"/>
          <w:sz w:val="24"/>
          <w:szCs w:val="24"/>
          <w:rtl/>
        </w:rPr>
        <w:t xml:space="preserve">בנוסף, ביום 24/12/2021 פרסם הנתבע שוב בטור במהדורת יום שישי של "מעריב". בפרסום זה התייחס אל התובע בהרחבה ושב והוציא נגדו דיבה. בפרסום מיום 24/12/2021 טען הנתבע שהמשפט "דמם של הרוגי מירון מרוח על ידיו" של התובע, הוא בגדר דעתו הפרטית בלבד. וכלשון הפרסום בעיתון – </w:t>
      </w:r>
      <w:r>
        <w:rPr>
          <w:rFonts w:ascii="David" w:hAnsi="David" w:cs="David"/>
          <w:b/>
          <w:bCs/>
          <w:sz w:val="24"/>
          <w:szCs w:val="24"/>
          <w:rtl/>
        </w:rPr>
        <w:t>"משפט  שבא לשקף את דעתי הפרטית ולא עובדה כלשהי. משפט שהתגבש בראשי בעקבות מעקב אחר העדויות הנשמעות בפני ועדת החקירה הממלכתית לאסון מירון"</w:t>
      </w:r>
      <w:r>
        <w:rPr>
          <w:rFonts w:ascii="David" w:hAnsi="David" w:cs="David"/>
          <w:sz w:val="24"/>
          <w:szCs w:val="24"/>
          <w:rtl/>
        </w:rPr>
        <w:t xml:space="preserve">. עוד כתב הנתבע </w:t>
      </w:r>
      <w:r>
        <w:rPr>
          <w:rFonts w:ascii="David" w:hAnsi="David" w:cs="David"/>
          <w:b/>
          <w:bCs/>
          <w:sz w:val="24"/>
          <w:szCs w:val="24"/>
          <w:rtl/>
        </w:rPr>
        <w:t>"נדמה לי שהמסקנה שאליה הגעתי לגיטימית וחוסה בגבולות חופש הביטוי והדעה. ייתכן שהשפה הייתה ציורית מדי. הדם מרוח וגו'. בתכל'ס, הכוונה ברורה: על פי העדויות עד כה, אריה דרעי, לעניות דעתי שאינה קובעת, הוא אחד האשמים באסון מירון"</w:t>
      </w:r>
      <w:r>
        <w:rPr>
          <w:rFonts w:ascii="David" w:hAnsi="David" w:cs="David"/>
          <w:sz w:val="24"/>
          <w:szCs w:val="24"/>
          <w:rtl/>
        </w:rPr>
        <w:t>.</w:t>
      </w:r>
    </w:p>
    <w:p w:rsidR="00E0607A" w:rsidRDefault="00E0607A" w:rsidP="00E0607A">
      <w:pPr>
        <w:pStyle w:val="ad"/>
        <w:rPr>
          <w:rFonts w:ascii="David" w:hAnsi="David" w:cs="David"/>
          <w:sz w:val="24"/>
          <w:szCs w:val="24"/>
          <w:rtl/>
        </w:rPr>
      </w:pPr>
    </w:p>
    <w:p w:rsidR="00E0607A" w:rsidRDefault="00E0607A" w:rsidP="00724B54">
      <w:pPr>
        <w:pStyle w:val="ad"/>
        <w:spacing w:line="360" w:lineRule="auto"/>
        <w:ind w:left="755"/>
        <w:jc w:val="both"/>
        <w:rPr>
          <w:rFonts w:ascii="David" w:hAnsi="David" w:cs="David"/>
          <w:b/>
          <w:bCs/>
          <w:sz w:val="24"/>
          <w:szCs w:val="24"/>
          <w:rtl/>
        </w:rPr>
      </w:pPr>
      <w:r>
        <w:rPr>
          <w:rFonts w:ascii="David" w:hAnsi="David" w:cs="David"/>
          <w:sz w:val="24"/>
          <w:szCs w:val="24"/>
          <w:rtl/>
        </w:rPr>
        <w:t>מעבר לאמירות אלה זו הוסיף הנתבע</w:t>
      </w:r>
      <w:r w:rsidR="00724B54">
        <w:rPr>
          <w:rFonts w:ascii="David" w:hAnsi="David" w:cs="David" w:hint="cs"/>
          <w:sz w:val="24"/>
          <w:szCs w:val="24"/>
          <w:rtl/>
        </w:rPr>
        <w:t xml:space="preserve"> </w:t>
      </w:r>
      <w:r>
        <w:rPr>
          <w:rFonts w:ascii="David" w:hAnsi="David" w:cs="David"/>
          <w:sz w:val="24"/>
          <w:szCs w:val="24"/>
          <w:rtl/>
        </w:rPr>
        <w:t>ופרסם האמירות שבסעיף 1.2 לעיל ובין היתר פרסם שמהעדויות בו</w:t>
      </w:r>
      <w:r w:rsidR="00724B54">
        <w:rPr>
          <w:rFonts w:ascii="David" w:hAnsi="David" w:cs="David" w:hint="cs"/>
          <w:sz w:val="24"/>
          <w:szCs w:val="24"/>
          <w:rtl/>
        </w:rPr>
        <w:t>ו</w:t>
      </w:r>
      <w:r>
        <w:rPr>
          <w:rFonts w:ascii="David" w:hAnsi="David" w:cs="David"/>
          <w:sz w:val="24"/>
          <w:szCs w:val="24"/>
          <w:rtl/>
        </w:rPr>
        <w:t xml:space="preserve">עדת החקירה הממלכתית לחקר אסון הר מירון </w:t>
      </w:r>
      <w:r>
        <w:rPr>
          <w:rFonts w:ascii="David" w:hAnsi="David" w:cs="David"/>
          <w:b/>
          <w:bCs/>
          <w:sz w:val="24"/>
          <w:szCs w:val="24"/>
          <w:rtl/>
        </w:rPr>
        <w:t>"עולה בוודאות שהדחיפה לקיומה של הילולת מירון במתכונת הרגילה שלה, ללא הגבלות כלשהן, הגיעה מדרעי"</w:t>
      </w:r>
      <w:r>
        <w:rPr>
          <w:rFonts w:ascii="David" w:hAnsi="David" w:cs="David"/>
          <w:sz w:val="24"/>
          <w:szCs w:val="24"/>
          <w:rtl/>
        </w:rPr>
        <w:t>.</w:t>
      </w:r>
    </w:p>
    <w:p w:rsidR="00E0607A" w:rsidRDefault="00E0607A" w:rsidP="00E0607A">
      <w:pPr>
        <w:pStyle w:val="ad"/>
        <w:rPr>
          <w:rFonts w:ascii="David" w:hAnsi="David" w:cs="David"/>
          <w:sz w:val="24"/>
          <w:szCs w:val="24"/>
          <w:rtl/>
        </w:rPr>
      </w:pPr>
    </w:p>
    <w:p w:rsidR="00E0607A" w:rsidRDefault="00E0607A" w:rsidP="00724B54">
      <w:pPr>
        <w:pStyle w:val="ad"/>
        <w:numPr>
          <w:ilvl w:val="0"/>
          <w:numId w:val="8"/>
        </w:numPr>
        <w:spacing w:line="360" w:lineRule="auto"/>
        <w:jc w:val="both"/>
        <w:rPr>
          <w:rFonts w:ascii="David" w:hAnsi="David" w:cs="David"/>
          <w:sz w:val="24"/>
          <w:szCs w:val="24"/>
          <w:rtl/>
        </w:rPr>
      </w:pPr>
      <w:r>
        <w:rPr>
          <w:rFonts w:ascii="David" w:hAnsi="David" w:cs="David"/>
          <w:sz w:val="24"/>
          <w:szCs w:val="24"/>
          <w:rtl/>
        </w:rPr>
        <w:t xml:space="preserve">התובע </w:t>
      </w:r>
      <w:r w:rsidR="00724B54">
        <w:rPr>
          <w:rFonts w:ascii="David" w:hAnsi="David" w:cs="David" w:hint="cs"/>
          <w:sz w:val="24"/>
          <w:szCs w:val="24"/>
          <w:rtl/>
        </w:rPr>
        <w:t xml:space="preserve">טען שהנתבע </w:t>
      </w:r>
      <w:r>
        <w:rPr>
          <w:rFonts w:ascii="David" w:hAnsi="David" w:cs="David"/>
          <w:sz w:val="24"/>
          <w:szCs w:val="24"/>
          <w:rtl/>
        </w:rPr>
        <w:t>בפרסומיו התערב בגסות בהליך משפטי תלוי ועומד מתוך כוונה ברורה להשפיע שלא כדין על ועדת החקירה.  בכך לגישתו עבר הנתבע על סעיף 24א(א) ל</w:t>
      </w:r>
      <w:r w:rsidRPr="00724B54">
        <w:rPr>
          <w:rFonts w:ascii="David" w:hAnsi="David" w:cs="David"/>
          <w:sz w:val="24"/>
          <w:szCs w:val="24"/>
          <w:u w:val="single"/>
          <w:rtl/>
        </w:rPr>
        <w:t>חוק ועדות חקירה</w:t>
      </w:r>
      <w:r>
        <w:rPr>
          <w:rFonts w:ascii="David" w:hAnsi="David" w:cs="David"/>
          <w:sz w:val="24"/>
          <w:szCs w:val="24"/>
          <w:rtl/>
        </w:rPr>
        <w:t>, תשכ"ט -1968.</w:t>
      </w:r>
    </w:p>
    <w:p w:rsidR="00E0607A" w:rsidRDefault="00E0607A" w:rsidP="00E0607A">
      <w:pPr>
        <w:pStyle w:val="ad"/>
        <w:rPr>
          <w:rFonts w:ascii="David" w:hAnsi="David" w:cs="David"/>
          <w:sz w:val="24"/>
          <w:szCs w:val="24"/>
        </w:rPr>
      </w:pPr>
    </w:p>
    <w:p w:rsidR="00E0607A" w:rsidRDefault="00E0607A" w:rsidP="00724B54">
      <w:pPr>
        <w:pStyle w:val="ad"/>
        <w:numPr>
          <w:ilvl w:val="0"/>
          <w:numId w:val="8"/>
        </w:numPr>
        <w:spacing w:line="360" w:lineRule="auto"/>
        <w:jc w:val="both"/>
        <w:rPr>
          <w:rFonts w:ascii="David" w:hAnsi="David" w:cs="David"/>
          <w:sz w:val="24"/>
          <w:szCs w:val="24"/>
          <w:rtl/>
        </w:rPr>
      </w:pPr>
      <w:r>
        <w:rPr>
          <w:rFonts w:ascii="David" w:hAnsi="David" w:cs="David"/>
          <w:sz w:val="24"/>
          <w:szCs w:val="24"/>
          <w:rtl/>
        </w:rPr>
        <w:t>עוד הלין התובע על כך שהנתבע לא פנה אליו על מנת לבקש את תגובתו להאשמה. לדברי התובע, אילו היה הנתבע מברר את העובדות טרם פרסומן הרי היה לומד שהטלת האשמה החמורה בעניין האסון במירון היא אקט שיקרי המנוגד למציאות.</w:t>
      </w:r>
    </w:p>
    <w:p w:rsidR="00A84C23" w:rsidRDefault="00A84C23" w:rsidP="00E0607A">
      <w:pPr>
        <w:pStyle w:val="ad"/>
        <w:rPr>
          <w:rFonts w:ascii="David" w:hAnsi="David" w:cs="David"/>
          <w:sz w:val="24"/>
          <w:szCs w:val="24"/>
        </w:rPr>
      </w:pPr>
    </w:p>
    <w:p w:rsidR="00E0607A" w:rsidRDefault="00E0607A" w:rsidP="00E0607A">
      <w:pPr>
        <w:pStyle w:val="ad"/>
        <w:numPr>
          <w:ilvl w:val="0"/>
          <w:numId w:val="8"/>
        </w:numPr>
        <w:spacing w:line="360" w:lineRule="auto"/>
        <w:jc w:val="both"/>
        <w:rPr>
          <w:rFonts w:ascii="David" w:hAnsi="David" w:cs="David"/>
          <w:sz w:val="24"/>
          <w:szCs w:val="24"/>
        </w:rPr>
      </w:pPr>
      <w:r>
        <w:rPr>
          <w:rFonts w:ascii="David" w:hAnsi="David" w:cs="David"/>
          <w:sz w:val="24"/>
          <w:szCs w:val="24"/>
          <w:rtl/>
        </w:rPr>
        <w:t>באשר לטענות הגנה אפשריות של הנתבע ציין התובע, בין היתר</w:t>
      </w:r>
      <w:r w:rsidR="000E5C57">
        <w:rPr>
          <w:rFonts w:ascii="David" w:hAnsi="David" w:cs="David" w:hint="cs"/>
          <w:sz w:val="24"/>
          <w:szCs w:val="24"/>
          <w:rtl/>
        </w:rPr>
        <w:t>,</w:t>
      </w:r>
      <w:r>
        <w:rPr>
          <w:rFonts w:ascii="David" w:hAnsi="David" w:cs="David"/>
          <w:sz w:val="24"/>
          <w:szCs w:val="24"/>
          <w:rtl/>
        </w:rPr>
        <w:t xml:space="preserve"> כך:</w:t>
      </w:r>
    </w:p>
    <w:p w:rsidR="00724B54" w:rsidRDefault="00724B54" w:rsidP="00724B54">
      <w:pPr>
        <w:pStyle w:val="ad"/>
        <w:spacing w:line="360" w:lineRule="auto"/>
        <w:ind w:left="755"/>
        <w:jc w:val="both"/>
        <w:rPr>
          <w:rFonts w:ascii="David" w:hAnsi="David" w:cs="David"/>
          <w:sz w:val="24"/>
          <w:szCs w:val="24"/>
          <w:rtl/>
        </w:rPr>
      </w:pPr>
    </w:p>
    <w:p w:rsidR="00E0607A" w:rsidRDefault="00E0607A" w:rsidP="000E5C57">
      <w:pPr>
        <w:pStyle w:val="ad"/>
        <w:numPr>
          <w:ilvl w:val="0"/>
          <w:numId w:val="9"/>
        </w:numPr>
        <w:spacing w:line="360" w:lineRule="auto"/>
        <w:jc w:val="both"/>
        <w:rPr>
          <w:rFonts w:ascii="David" w:hAnsi="David" w:cs="David"/>
          <w:sz w:val="24"/>
          <w:szCs w:val="24"/>
        </w:rPr>
      </w:pPr>
      <w:r>
        <w:rPr>
          <w:rFonts w:ascii="David" w:hAnsi="David" w:cs="David"/>
          <w:sz w:val="24"/>
          <w:szCs w:val="24"/>
          <w:rtl/>
        </w:rPr>
        <w:t xml:space="preserve">לנתבע לא עומדת כל הגנה מפני הפרסומים. לעניין הגנת "אמת דיברתי" ציין התובע שכלל </w:t>
      </w:r>
      <w:r w:rsidRPr="000E5C57">
        <w:rPr>
          <w:rFonts w:ascii="David" w:hAnsi="David" w:cs="David"/>
          <w:sz w:val="24"/>
          <w:szCs w:val="24"/>
          <w:u w:val="single"/>
          <w:rtl/>
        </w:rPr>
        <w:t>לא התעסק בנושאי הבטיחות</w:t>
      </w:r>
      <w:r>
        <w:rPr>
          <w:rFonts w:ascii="David" w:hAnsi="David" w:cs="David"/>
          <w:sz w:val="24"/>
          <w:szCs w:val="24"/>
          <w:rtl/>
        </w:rPr>
        <w:t xml:space="preserve"> אלא רק בעניין קיומה של ההילולה וההכנות המקדימות לה. </w:t>
      </w:r>
      <w:r w:rsidR="000E5C57">
        <w:rPr>
          <w:rFonts w:ascii="David" w:hAnsi="David" w:cs="David" w:hint="cs"/>
          <w:sz w:val="24"/>
          <w:szCs w:val="24"/>
          <w:rtl/>
        </w:rPr>
        <w:t xml:space="preserve">התובע ציין שפעל </w:t>
      </w:r>
      <w:r>
        <w:rPr>
          <w:rFonts w:ascii="David" w:hAnsi="David" w:cs="David"/>
          <w:sz w:val="24"/>
          <w:szCs w:val="24"/>
          <w:rtl/>
        </w:rPr>
        <w:t xml:space="preserve">מתוקף תפקידיו הנוספים כאחראי הטיפול בקורונה במגזר החרדי וכחבר בקבינט הקורונה. פעילותו התייחסה לסוגיות הגבלת התקהלות של הקורונה. עוד הדגיש התובע שבאותם מועדים, בעלי התפקידים בקבלת ההחלטות הנוגעות להילולה ולתפעול המקום היו משטרת ישראל ומשרד הבריאות וכן היו מעורבים גם המשרד לשירותי דת ומשרד התחבורה. </w:t>
      </w:r>
    </w:p>
    <w:p w:rsidR="00E0607A" w:rsidRDefault="00E0607A" w:rsidP="00E0607A">
      <w:pPr>
        <w:pStyle w:val="ad"/>
        <w:rPr>
          <w:rFonts w:ascii="David" w:hAnsi="David" w:cs="David"/>
          <w:sz w:val="24"/>
          <w:szCs w:val="24"/>
        </w:rPr>
      </w:pPr>
    </w:p>
    <w:p w:rsidR="00E0607A" w:rsidRDefault="00E0607A" w:rsidP="00E0607A">
      <w:pPr>
        <w:pStyle w:val="ad"/>
        <w:numPr>
          <w:ilvl w:val="0"/>
          <w:numId w:val="9"/>
        </w:numPr>
        <w:spacing w:line="360" w:lineRule="auto"/>
        <w:jc w:val="both"/>
        <w:rPr>
          <w:rFonts w:ascii="David" w:hAnsi="David" w:cs="David"/>
          <w:sz w:val="24"/>
          <w:szCs w:val="24"/>
          <w:rtl/>
        </w:rPr>
      </w:pPr>
      <w:r>
        <w:rPr>
          <w:rFonts w:ascii="David" w:hAnsi="David" w:cs="David"/>
          <w:sz w:val="24"/>
          <w:szCs w:val="24"/>
          <w:rtl/>
        </w:rPr>
        <w:t>דבריו של הנתבע כי "בפני הוועדה הזו נשמעו, עד עכשיו, עדויות מפי היועצת המשפטית של משרד הדתות, הרל"שית של מפקד מחוז הצפון במשטרה ועדים נוספים,</w:t>
      </w:r>
      <w:r>
        <w:rPr>
          <w:rFonts w:ascii="David" w:hAnsi="David" w:cs="David"/>
          <w:sz w:val="24"/>
          <w:szCs w:val="24"/>
          <w:u w:val="single"/>
          <w:rtl/>
        </w:rPr>
        <w:t xml:space="preserve"> שמהן עולה בוודאות שהדחיפה לקיומה של הילולת מירון במתכונת הרגילה שלה, ללא הגבלות כלשהן, הגיעה מדרעי"</w:t>
      </w:r>
      <w:r>
        <w:rPr>
          <w:rFonts w:ascii="David" w:hAnsi="David" w:cs="David"/>
          <w:sz w:val="24"/>
          <w:szCs w:val="24"/>
          <w:rtl/>
        </w:rPr>
        <w:t xml:space="preserve"> אינם</w:t>
      </w:r>
      <w:r>
        <w:rPr>
          <w:rFonts w:ascii="David" w:hAnsi="David" w:cs="David"/>
          <w:b/>
          <w:bCs/>
          <w:sz w:val="24"/>
          <w:szCs w:val="24"/>
          <w:rtl/>
        </w:rPr>
        <w:t xml:space="preserve"> </w:t>
      </w:r>
      <w:r>
        <w:rPr>
          <w:rFonts w:ascii="David" w:hAnsi="David" w:cs="David"/>
          <w:sz w:val="24"/>
          <w:szCs w:val="24"/>
          <w:rtl/>
        </w:rPr>
        <w:t>יכולים להיחשב כ"דין וחשבון נכון והוגן על מה שנאמר" בוועדת החקירה.</w:t>
      </w:r>
    </w:p>
    <w:p w:rsidR="00E0607A" w:rsidRDefault="00E0607A" w:rsidP="00E0607A">
      <w:pPr>
        <w:pStyle w:val="ad"/>
        <w:rPr>
          <w:rFonts w:ascii="David" w:hAnsi="David" w:cs="David"/>
          <w:sz w:val="24"/>
          <w:szCs w:val="24"/>
        </w:rPr>
      </w:pPr>
    </w:p>
    <w:p w:rsidR="00E0607A" w:rsidRDefault="00E0607A" w:rsidP="00E0607A">
      <w:pPr>
        <w:pStyle w:val="ad"/>
        <w:rPr>
          <w:rFonts w:ascii="David" w:hAnsi="David" w:cs="David"/>
          <w:sz w:val="24"/>
          <w:szCs w:val="24"/>
          <w:rtl/>
        </w:rPr>
      </w:pPr>
    </w:p>
    <w:p w:rsidR="00E0607A" w:rsidRDefault="00E0607A" w:rsidP="00E0607A">
      <w:pPr>
        <w:pStyle w:val="ad"/>
        <w:numPr>
          <w:ilvl w:val="1"/>
          <w:numId w:val="1"/>
        </w:numPr>
        <w:spacing w:line="360" w:lineRule="auto"/>
        <w:ind w:left="395" w:hanging="567"/>
        <w:jc w:val="both"/>
        <w:rPr>
          <w:rFonts w:ascii="David" w:hAnsi="David" w:cs="David"/>
          <w:b/>
          <w:bCs/>
          <w:sz w:val="24"/>
          <w:szCs w:val="24"/>
          <w:u w:val="single"/>
          <w:rtl/>
        </w:rPr>
      </w:pPr>
      <w:r>
        <w:rPr>
          <w:rFonts w:ascii="David" w:hAnsi="David" w:cs="David"/>
          <w:b/>
          <w:bCs/>
          <w:sz w:val="24"/>
          <w:szCs w:val="24"/>
          <w:u w:val="single"/>
          <w:rtl/>
        </w:rPr>
        <w:t>תמצית טענות הנתבע</w:t>
      </w:r>
    </w:p>
    <w:p w:rsidR="00E0607A" w:rsidRDefault="00E0607A" w:rsidP="006A60F8">
      <w:pPr>
        <w:pStyle w:val="ad"/>
        <w:numPr>
          <w:ilvl w:val="0"/>
          <w:numId w:val="10"/>
        </w:numPr>
        <w:spacing w:line="360" w:lineRule="auto"/>
        <w:jc w:val="both"/>
        <w:rPr>
          <w:rFonts w:ascii="David" w:hAnsi="David" w:cs="David"/>
          <w:sz w:val="24"/>
          <w:szCs w:val="24"/>
          <w:u w:val="single"/>
        </w:rPr>
      </w:pPr>
      <w:r>
        <w:rPr>
          <w:rFonts w:ascii="David" w:hAnsi="David" w:cs="David"/>
          <w:sz w:val="24"/>
          <w:szCs w:val="24"/>
          <w:rtl/>
        </w:rPr>
        <w:t>הנתבע צ</w:t>
      </w:r>
      <w:r w:rsidR="006A60F8">
        <w:rPr>
          <w:rFonts w:ascii="David" w:hAnsi="David" w:cs="David"/>
          <w:sz w:val="24"/>
          <w:szCs w:val="24"/>
          <w:rtl/>
        </w:rPr>
        <w:t xml:space="preserve">יין שהתביעה </w:t>
      </w:r>
      <w:r w:rsidR="006A60F8">
        <w:rPr>
          <w:rFonts w:ascii="David" w:hAnsi="David" w:cs="David" w:hint="cs"/>
          <w:sz w:val="24"/>
          <w:szCs w:val="24"/>
          <w:rtl/>
        </w:rPr>
        <w:t>ש</w:t>
      </w:r>
      <w:r>
        <w:rPr>
          <w:rFonts w:ascii="David" w:hAnsi="David" w:cs="David"/>
          <w:sz w:val="24"/>
          <w:szCs w:val="24"/>
          <w:rtl/>
        </w:rPr>
        <w:t xml:space="preserve">הפרסום </w:t>
      </w:r>
      <w:r w:rsidR="006A60F8">
        <w:rPr>
          <w:rFonts w:ascii="David" w:hAnsi="David" w:cs="David" w:hint="cs"/>
          <w:sz w:val="24"/>
          <w:szCs w:val="24"/>
          <w:rtl/>
        </w:rPr>
        <w:t xml:space="preserve">הוא </w:t>
      </w:r>
      <w:r>
        <w:rPr>
          <w:rFonts w:ascii="David" w:hAnsi="David" w:cs="David"/>
          <w:sz w:val="24"/>
          <w:szCs w:val="24"/>
          <w:rtl/>
        </w:rPr>
        <w:t xml:space="preserve">הבעת דעה ברורה בעניין שבראש סדר היום הציבורי - אסון מירון. מטרת הגשת התביעה היא "להטיל אפקט מצנן" על נכונותם הן של הנתבע ושל אחרים מלהשתתף בדיון בעניין ציבורי זה ו/או לעסוק בעדויות הנשמעות באשר לאחריות  התובע. </w:t>
      </w:r>
    </w:p>
    <w:p w:rsidR="00E0607A" w:rsidRDefault="00E0607A" w:rsidP="00E0607A">
      <w:pPr>
        <w:pStyle w:val="ad"/>
        <w:spacing w:line="360" w:lineRule="auto"/>
        <w:ind w:left="755"/>
        <w:jc w:val="both"/>
        <w:rPr>
          <w:rFonts w:ascii="David" w:hAnsi="David" w:cs="David"/>
          <w:sz w:val="24"/>
          <w:szCs w:val="24"/>
          <w:u w:val="single"/>
        </w:rPr>
      </w:pPr>
    </w:p>
    <w:p w:rsidR="00E0607A" w:rsidRDefault="00E0607A" w:rsidP="00E0607A">
      <w:pPr>
        <w:pStyle w:val="ad"/>
        <w:numPr>
          <w:ilvl w:val="0"/>
          <w:numId w:val="10"/>
        </w:numPr>
        <w:spacing w:line="360" w:lineRule="auto"/>
        <w:jc w:val="both"/>
        <w:rPr>
          <w:rFonts w:ascii="David" w:hAnsi="David" w:cs="David"/>
          <w:sz w:val="24"/>
          <w:szCs w:val="24"/>
        </w:rPr>
      </w:pPr>
      <w:r>
        <w:rPr>
          <w:rFonts w:ascii="David" w:hAnsi="David" w:cs="David"/>
          <w:sz w:val="24"/>
          <w:szCs w:val="24"/>
          <w:rtl/>
        </w:rPr>
        <w:t>עוד הדגיש הנתבע שהתביעה היא תביעת השתקה ומשכך דינה סילוק על הסף. הנתבע התייחס לפערי הכוחות בין הצדדים וציין כי הוא מצוי בעמדת נחיתות. כאן הפנה הנתבע לכך שהתובע בחר להגיש כנגד תביעה אישית ואפילו לא צירף ותבע את העיתון בו פורסם טור הדעה. התנהלות זו מלמדת על כך שהתביעה הוגשה בשל ענין ציבורי</w:t>
      </w:r>
      <w:r w:rsidR="008920A3">
        <w:rPr>
          <w:rFonts w:ascii="David" w:hAnsi="David" w:cs="David" w:hint="cs"/>
          <w:sz w:val="24"/>
          <w:szCs w:val="24"/>
          <w:rtl/>
        </w:rPr>
        <w:t xml:space="preserve"> ותוך</w:t>
      </w:r>
      <w:r>
        <w:rPr>
          <w:rFonts w:ascii="David" w:hAnsi="David" w:cs="David"/>
          <w:sz w:val="24"/>
          <w:szCs w:val="24"/>
          <w:rtl/>
        </w:rPr>
        <w:t xml:space="preserve"> נ</w:t>
      </w:r>
      <w:r w:rsidR="000E5C57">
        <w:rPr>
          <w:rFonts w:ascii="David" w:hAnsi="David" w:cs="David" w:hint="cs"/>
          <w:sz w:val="24"/>
          <w:szCs w:val="24"/>
          <w:rtl/>
        </w:rPr>
        <w:t>י</w:t>
      </w:r>
      <w:r>
        <w:rPr>
          <w:rFonts w:ascii="David" w:hAnsi="David" w:cs="David"/>
          <w:sz w:val="24"/>
          <w:szCs w:val="24"/>
          <w:rtl/>
        </w:rPr>
        <w:t>סיון ה</w:t>
      </w:r>
      <w:r w:rsidR="008920A3">
        <w:rPr>
          <w:rFonts w:ascii="David" w:hAnsi="David" w:cs="David"/>
          <w:sz w:val="24"/>
          <w:szCs w:val="24"/>
          <w:rtl/>
        </w:rPr>
        <w:t>שתקת ביקורת הנמתחת על התובע ל</w:t>
      </w:r>
      <w:r w:rsidR="008920A3">
        <w:rPr>
          <w:rFonts w:ascii="David" w:hAnsi="David" w:cs="David" w:hint="cs"/>
          <w:sz w:val="24"/>
          <w:szCs w:val="24"/>
          <w:rtl/>
        </w:rPr>
        <w:t>אור</w:t>
      </w:r>
      <w:r>
        <w:rPr>
          <w:rFonts w:ascii="David" w:hAnsi="David" w:cs="David"/>
          <w:sz w:val="24"/>
          <w:szCs w:val="24"/>
          <w:rtl/>
        </w:rPr>
        <w:t xml:space="preserve"> עדויות הנשמעות בקשר לאחריותו לאסון מירון. </w:t>
      </w:r>
    </w:p>
    <w:p w:rsidR="00E0607A" w:rsidRDefault="00E0607A" w:rsidP="00E0607A">
      <w:pPr>
        <w:pStyle w:val="ad"/>
        <w:spacing w:line="360" w:lineRule="auto"/>
        <w:ind w:left="755"/>
        <w:jc w:val="both"/>
        <w:rPr>
          <w:rFonts w:ascii="David" w:hAnsi="David" w:cs="David"/>
          <w:sz w:val="24"/>
          <w:szCs w:val="24"/>
          <w:u w:val="single"/>
          <w:rtl/>
        </w:rPr>
      </w:pPr>
      <w:r>
        <w:rPr>
          <w:rFonts w:ascii="David" w:hAnsi="David" w:cs="David"/>
          <w:sz w:val="24"/>
          <w:szCs w:val="24"/>
          <w:rtl/>
        </w:rPr>
        <w:t xml:space="preserve"> </w:t>
      </w:r>
    </w:p>
    <w:p w:rsidR="00E0607A" w:rsidRDefault="00E0607A" w:rsidP="008920A3">
      <w:pPr>
        <w:pStyle w:val="ad"/>
        <w:numPr>
          <w:ilvl w:val="0"/>
          <w:numId w:val="10"/>
        </w:numPr>
        <w:spacing w:line="360" w:lineRule="auto"/>
        <w:jc w:val="both"/>
        <w:rPr>
          <w:rFonts w:ascii="David" w:hAnsi="David" w:cs="David"/>
          <w:sz w:val="24"/>
          <w:szCs w:val="24"/>
          <w:rtl/>
        </w:rPr>
      </w:pPr>
      <w:r>
        <w:rPr>
          <w:rFonts w:ascii="David" w:hAnsi="David" w:cs="David"/>
          <w:sz w:val="24"/>
          <w:szCs w:val="24"/>
          <w:rtl/>
        </w:rPr>
        <w:t>הנתבע ציין שהתובע הוא איש ציבור מזה שנים רבות, פוליטיקאי, חבר כנסת ושר לשעבר. התובע הורשע בשנת 1999 בעבירת שוחד, שלו</w:t>
      </w:r>
      <w:r w:rsidR="008920A3">
        <w:rPr>
          <w:rFonts w:ascii="David" w:hAnsi="David" w:cs="David" w:hint="cs"/>
          <w:sz w:val="24"/>
          <w:szCs w:val="24"/>
          <w:rtl/>
        </w:rPr>
        <w:t>ש ע</w:t>
      </w:r>
      <w:r>
        <w:rPr>
          <w:rFonts w:ascii="David" w:hAnsi="David" w:cs="David"/>
          <w:sz w:val="24"/>
          <w:szCs w:val="24"/>
          <w:rtl/>
        </w:rPr>
        <w:t>בירות מרמה והפרת אמונים וקבלת דבר במרמה</w:t>
      </w:r>
      <w:r w:rsidR="008920A3">
        <w:rPr>
          <w:rFonts w:ascii="David" w:hAnsi="David" w:cs="David"/>
          <w:sz w:val="24"/>
          <w:szCs w:val="24"/>
          <w:rtl/>
        </w:rPr>
        <w:t xml:space="preserve"> בנסיבות מחמירות. הנתבע ציין כי</w:t>
      </w:r>
      <w:r>
        <w:rPr>
          <w:rFonts w:ascii="David" w:hAnsi="David" w:cs="David"/>
          <w:sz w:val="24"/>
          <w:szCs w:val="24"/>
          <w:rtl/>
        </w:rPr>
        <w:t xml:space="preserve"> בזמן הרלוונטי לאסון מירון, בחודש אפריל 2021, כיהן התובע כשר הפנים, פעל כשר הדתות בפועל וכחבר קבינט הקורונה. התובע היה מי שקידם את פתיחת שערי אירוע ההילולה בהר מירון לכלל הציבור, ללא הגבלת כמות המתפללים. עוד ציין הנתבע שהתובע והשר לביטחון פנים הגיעו להסכמה על קיום האירוע ללא הגבלות חרף התנגדות משרד הבריאות. היעדר המגבלות גרמו לאסון כבד. </w:t>
      </w:r>
    </w:p>
    <w:p w:rsidR="00E0607A" w:rsidRDefault="00E0607A" w:rsidP="00E0607A">
      <w:pPr>
        <w:pStyle w:val="ad"/>
        <w:rPr>
          <w:rFonts w:ascii="David" w:hAnsi="David" w:cs="David"/>
          <w:sz w:val="24"/>
          <w:szCs w:val="24"/>
        </w:rPr>
      </w:pPr>
    </w:p>
    <w:p w:rsidR="00E0607A" w:rsidRDefault="006A60F8" w:rsidP="006A60F8">
      <w:pPr>
        <w:pStyle w:val="ad"/>
        <w:numPr>
          <w:ilvl w:val="0"/>
          <w:numId w:val="10"/>
        </w:numPr>
        <w:spacing w:line="360" w:lineRule="auto"/>
        <w:jc w:val="both"/>
        <w:rPr>
          <w:rFonts w:ascii="David" w:hAnsi="David" w:cs="David"/>
          <w:sz w:val="24"/>
          <w:szCs w:val="24"/>
          <w:rtl/>
        </w:rPr>
      </w:pPr>
      <w:r>
        <w:rPr>
          <w:rFonts w:ascii="David" w:hAnsi="David" w:cs="David"/>
          <w:sz w:val="24"/>
          <w:szCs w:val="24"/>
          <w:rtl/>
        </w:rPr>
        <w:t>הנתבע</w:t>
      </w:r>
      <w:r>
        <w:rPr>
          <w:rFonts w:ascii="David" w:hAnsi="David" w:cs="David" w:hint="cs"/>
          <w:sz w:val="24"/>
          <w:szCs w:val="24"/>
          <w:rtl/>
        </w:rPr>
        <w:t xml:space="preserve"> ציין ש</w:t>
      </w:r>
      <w:r w:rsidR="00E0607A">
        <w:rPr>
          <w:rFonts w:ascii="David" w:hAnsi="David" w:cs="David"/>
          <w:sz w:val="24"/>
          <w:szCs w:val="24"/>
          <w:rtl/>
        </w:rPr>
        <w:t>שעה קלה לפני האסון, הילל מנכ"ל המשרד לפיתוח המקומות הקדושים הרב שווינגר את התובע. הרב שווינגר</w:t>
      </w:r>
      <w:r w:rsidR="00E0607A">
        <w:rPr>
          <w:rFonts w:ascii="David" w:hAnsi="David" w:cs="David"/>
          <w:sz w:val="24"/>
          <w:szCs w:val="24"/>
        </w:rPr>
        <w:t xml:space="preserve"> </w:t>
      </w:r>
      <w:r w:rsidR="00E0607A">
        <w:rPr>
          <w:rFonts w:ascii="David" w:hAnsi="David" w:cs="David"/>
          <w:sz w:val="24"/>
          <w:szCs w:val="24"/>
          <w:rtl/>
        </w:rPr>
        <w:t xml:space="preserve">לא שכח לציין ולהודות בזכות מי, ולמי מגיע התודה הגדולה על קיום האירוע: </w:t>
      </w:r>
      <w:r w:rsidR="00E0607A">
        <w:rPr>
          <w:rFonts w:ascii="David" w:hAnsi="David" w:cs="David"/>
          <w:b/>
          <w:bCs/>
          <w:sz w:val="24"/>
          <w:szCs w:val="24"/>
          <w:rtl/>
        </w:rPr>
        <w:t>"אני הייתי עד אתמול לקבינט</w:t>
      </w:r>
      <w:r w:rsidR="008920A3">
        <w:rPr>
          <w:rFonts w:ascii="David" w:hAnsi="David" w:cs="David" w:hint="cs"/>
          <w:b/>
          <w:bCs/>
          <w:sz w:val="24"/>
          <w:szCs w:val="24"/>
          <w:rtl/>
        </w:rPr>
        <w:t xml:space="preserve"> </w:t>
      </w:r>
      <w:r w:rsidR="00E0607A">
        <w:rPr>
          <w:rFonts w:ascii="David" w:hAnsi="David" w:cs="David"/>
          <w:b/>
          <w:bCs/>
          <w:sz w:val="24"/>
          <w:szCs w:val="24"/>
          <w:rtl/>
        </w:rPr>
        <w:t>- שלושה שרים שדנים עם צמרת משרד הבריאות וכל היועצים המשפטיים. אני לא רוצה להדאיג אותך איזה דברים נשמעו שם וכיצד הייתה צריכה להראות ההילולה הערב אם הרב דרעי לא היה מציל את העסק. הוא נלחם פשוטו כשמו, נלחם כארי וניסוח אחרי ניסוח. ברוך ה' הוא ריכך והנה אנחנו רואים את התוצאות, בזכותו הרבה</w:t>
      </w:r>
      <w:r w:rsidR="00E0607A">
        <w:rPr>
          <w:rFonts w:ascii="David" w:hAnsi="David" w:cs="David"/>
          <w:sz w:val="24"/>
          <w:szCs w:val="24"/>
          <w:rtl/>
        </w:rPr>
        <w:t xml:space="preserve">".  </w:t>
      </w:r>
    </w:p>
    <w:p w:rsidR="00E0607A" w:rsidRDefault="00E0607A" w:rsidP="00E0607A">
      <w:pPr>
        <w:pStyle w:val="ad"/>
        <w:spacing w:line="360" w:lineRule="auto"/>
        <w:ind w:left="1080"/>
        <w:jc w:val="both"/>
        <w:rPr>
          <w:rFonts w:ascii="David" w:hAnsi="David" w:cs="David"/>
          <w:sz w:val="24"/>
          <w:szCs w:val="24"/>
          <w:rtl/>
        </w:rPr>
      </w:pPr>
    </w:p>
    <w:p w:rsidR="00E0607A" w:rsidRDefault="00E0607A" w:rsidP="00E0607A">
      <w:pPr>
        <w:pStyle w:val="ad"/>
        <w:numPr>
          <w:ilvl w:val="0"/>
          <w:numId w:val="10"/>
        </w:numPr>
        <w:spacing w:line="360" w:lineRule="auto"/>
        <w:jc w:val="both"/>
        <w:rPr>
          <w:rFonts w:ascii="David" w:hAnsi="David" w:cs="David"/>
          <w:sz w:val="24"/>
          <w:szCs w:val="24"/>
          <w:rtl/>
        </w:rPr>
      </w:pPr>
      <w:r>
        <w:rPr>
          <w:rFonts w:ascii="David" w:hAnsi="David" w:cs="David"/>
          <w:sz w:val="24"/>
          <w:szCs w:val="24"/>
          <w:rtl/>
        </w:rPr>
        <w:t xml:space="preserve">ביחס לעדויות שנשמעו בדיוני ועדת החקירה הממלכתית לחקר אסון הר מירון ציין הנתבע שהועדה קבעה ביום 16/8/2021 כי העדים יישמעו בפניה בדלתיים פתוחות וחלקם ישודרו בשידור חי באתר הוועדה באינטרנט ובאופן זה יכול הציבור וגם התקשורת להתרשם מהעדויות הנשמעות. </w:t>
      </w:r>
    </w:p>
    <w:p w:rsidR="00E0607A" w:rsidRDefault="00E0607A" w:rsidP="00E0607A">
      <w:pPr>
        <w:pStyle w:val="ad"/>
        <w:spacing w:line="360" w:lineRule="auto"/>
        <w:ind w:left="1080"/>
        <w:jc w:val="both"/>
        <w:rPr>
          <w:rFonts w:ascii="David" w:hAnsi="David" w:cs="David"/>
          <w:sz w:val="24"/>
          <w:szCs w:val="24"/>
        </w:rPr>
      </w:pPr>
    </w:p>
    <w:p w:rsidR="00E0607A" w:rsidRDefault="00E0607A" w:rsidP="008920A3">
      <w:pPr>
        <w:pStyle w:val="ad"/>
        <w:numPr>
          <w:ilvl w:val="0"/>
          <w:numId w:val="10"/>
        </w:numPr>
        <w:spacing w:line="360" w:lineRule="auto"/>
        <w:jc w:val="both"/>
        <w:rPr>
          <w:rFonts w:ascii="David" w:hAnsi="David" w:cs="David"/>
          <w:sz w:val="24"/>
          <w:szCs w:val="24"/>
        </w:rPr>
      </w:pPr>
      <w:r>
        <w:rPr>
          <w:rFonts w:ascii="David" w:hAnsi="David" w:cs="David"/>
          <w:sz w:val="24"/>
          <w:szCs w:val="24"/>
          <w:rtl/>
        </w:rPr>
        <w:lastRenderedPageBreak/>
        <w:t>כבר במסגרת העדויות הראשונות שנשמעו בוועדה וכן מפרסומים שבוצעו בתקשורת לגבי עדויות אלו ולגבי ההכנות שבוצעו לאירוע, עולה כי לתובע הייתה מעורבות מיניסטריאלית ומעורבות בפועל כולל התערבות אקטיבית מצד משרדו ועוזריו בעבודת המשטרה. לטענת הנתבע, נוכח הראיות והעדויות לגבי מעורבותו של התובע באופן שבו נערכה ההילולה כמו גם פעולתו להסרת חסמים ומגבלות של כנ</w:t>
      </w:r>
      <w:r w:rsidR="008920A3">
        <w:rPr>
          <w:rFonts w:ascii="David" w:hAnsi="David" w:cs="David"/>
          <w:sz w:val="24"/>
          <w:szCs w:val="24"/>
          <w:rtl/>
        </w:rPr>
        <w:t>יסת הקבל כפי שהתובע הסביר בעצמו</w:t>
      </w:r>
      <w:r w:rsidR="008920A3">
        <w:rPr>
          <w:rFonts w:ascii="David" w:hAnsi="David" w:cs="David" w:hint="cs"/>
          <w:sz w:val="24"/>
          <w:szCs w:val="24"/>
          <w:rtl/>
        </w:rPr>
        <w:t xml:space="preserve"> - </w:t>
      </w:r>
      <w:r>
        <w:rPr>
          <w:rFonts w:ascii="David" w:hAnsi="David" w:cs="David"/>
          <w:sz w:val="24"/>
          <w:szCs w:val="24"/>
          <w:rtl/>
        </w:rPr>
        <w:t xml:space="preserve">הרי שהמילים שנכתבו על ידו הן הבעת דעה לגיטימית המוגנת במסגרת חופש הביטוי. </w:t>
      </w:r>
    </w:p>
    <w:p w:rsidR="00E0607A" w:rsidRDefault="00E0607A" w:rsidP="00E0607A">
      <w:pPr>
        <w:pStyle w:val="ad"/>
        <w:rPr>
          <w:rFonts w:ascii="David" w:hAnsi="David" w:cs="David"/>
          <w:sz w:val="24"/>
          <w:szCs w:val="24"/>
        </w:rPr>
      </w:pPr>
    </w:p>
    <w:p w:rsidR="00E0607A" w:rsidRDefault="00E0607A" w:rsidP="008920A3">
      <w:pPr>
        <w:pStyle w:val="ad"/>
        <w:numPr>
          <w:ilvl w:val="0"/>
          <w:numId w:val="10"/>
        </w:numPr>
        <w:spacing w:line="360" w:lineRule="auto"/>
        <w:jc w:val="both"/>
        <w:rPr>
          <w:rFonts w:ascii="David" w:hAnsi="David" w:cs="David"/>
          <w:sz w:val="24"/>
          <w:szCs w:val="24"/>
          <w:rtl/>
        </w:rPr>
      </w:pPr>
      <w:r>
        <w:rPr>
          <w:rFonts w:ascii="David" w:hAnsi="David" w:cs="David"/>
          <w:sz w:val="24"/>
          <w:szCs w:val="24"/>
          <w:rtl/>
        </w:rPr>
        <w:t xml:space="preserve">הנתבע הדגיש שהמילים "דם על הידיים" הן מטבע לשון ואינן מונח משפטי. לעניין זה הפנה אף לדוגמאות בהן נעשה שימוש בביטוי זה לרבות על ידי התובע עצמו.  הנתבע הוסיף וטען כי הפרסום אמת ועומדת לו הגנת אמת דיברתי ותום לב בהתאם לסעיף 14 ו-15 לחוק. כן סבור הנתבע כי עומדות לו הקלות </w:t>
      </w:r>
      <w:r w:rsidR="008920A3">
        <w:rPr>
          <w:rFonts w:ascii="David" w:hAnsi="David" w:cs="David" w:hint="cs"/>
          <w:sz w:val="24"/>
          <w:szCs w:val="24"/>
          <w:rtl/>
        </w:rPr>
        <w:t>מכח</w:t>
      </w:r>
      <w:r>
        <w:rPr>
          <w:rFonts w:ascii="David" w:hAnsi="David" w:cs="David"/>
          <w:sz w:val="24"/>
          <w:szCs w:val="24"/>
          <w:rtl/>
        </w:rPr>
        <w:t xml:space="preserve"> החוק שכן הבהיר עמדתו בפרסום נוסף מיום 24/12/2021.</w:t>
      </w:r>
    </w:p>
    <w:p w:rsidR="00E0607A" w:rsidRDefault="00E0607A" w:rsidP="00E0607A">
      <w:pPr>
        <w:pStyle w:val="ad"/>
        <w:rPr>
          <w:rFonts w:ascii="David" w:hAnsi="David" w:cs="David"/>
          <w:sz w:val="24"/>
          <w:szCs w:val="24"/>
        </w:rPr>
      </w:pPr>
    </w:p>
    <w:p w:rsidR="00E0607A" w:rsidRDefault="00E0607A" w:rsidP="00E0607A">
      <w:pPr>
        <w:pStyle w:val="ad"/>
        <w:rPr>
          <w:rFonts w:ascii="David" w:hAnsi="David" w:cs="David"/>
          <w:sz w:val="24"/>
          <w:szCs w:val="24"/>
          <w:rtl/>
        </w:rPr>
      </w:pPr>
    </w:p>
    <w:p w:rsidR="00E0607A" w:rsidRPr="006A60F8" w:rsidRDefault="00E0607A" w:rsidP="00E0607A">
      <w:pPr>
        <w:pStyle w:val="ad"/>
        <w:ind w:left="-598"/>
        <w:rPr>
          <w:rFonts w:ascii="David" w:hAnsi="David" w:cs="David"/>
          <w:sz w:val="28"/>
          <w:szCs w:val="28"/>
          <w:rtl/>
        </w:rPr>
      </w:pPr>
      <w:r w:rsidRPr="006A60F8">
        <w:rPr>
          <w:rFonts w:ascii="David" w:hAnsi="David" w:cs="David"/>
          <w:b/>
          <w:bCs/>
          <w:sz w:val="32"/>
          <w:szCs w:val="32"/>
          <w:u w:val="single"/>
          <w:rtl/>
        </w:rPr>
        <w:t>חלק שני – דיון והכרעה</w:t>
      </w:r>
    </w:p>
    <w:p w:rsidR="00E0607A" w:rsidRDefault="00E0607A" w:rsidP="00E0607A">
      <w:pPr>
        <w:pStyle w:val="ad"/>
        <w:spacing w:line="360" w:lineRule="auto"/>
        <w:ind w:left="-739"/>
        <w:jc w:val="both"/>
        <w:rPr>
          <w:rFonts w:ascii="David" w:hAnsi="David" w:cs="David"/>
          <w:sz w:val="24"/>
          <w:szCs w:val="24"/>
          <w:rtl/>
        </w:rPr>
      </w:pPr>
    </w:p>
    <w:p w:rsidR="00E0607A" w:rsidRDefault="00E0607A" w:rsidP="00E0607A">
      <w:pPr>
        <w:pStyle w:val="ad"/>
        <w:numPr>
          <w:ilvl w:val="0"/>
          <w:numId w:val="1"/>
        </w:numPr>
        <w:spacing w:line="360" w:lineRule="auto"/>
        <w:ind w:left="-172" w:hanging="284"/>
        <w:jc w:val="both"/>
        <w:rPr>
          <w:rFonts w:ascii="David" w:hAnsi="David" w:cs="David"/>
          <w:sz w:val="28"/>
          <w:szCs w:val="28"/>
        </w:rPr>
      </w:pPr>
      <w:r w:rsidRPr="00A84C23">
        <w:rPr>
          <w:rFonts w:ascii="David" w:hAnsi="David" w:cs="David"/>
          <w:b/>
          <w:bCs/>
          <w:sz w:val="28"/>
          <w:szCs w:val="28"/>
          <w:u w:val="single"/>
          <w:rtl/>
        </w:rPr>
        <w:t>דיון בפרסום הראשון משניים בגינו הוגשה התביעה (יש לקבל התביעה באופן חלקי ביחס לפרסום זה</w:t>
      </w:r>
      <w:r w:rsidRPr="00A84C23">
        <w:rPr>
          <w:rFonts w:ascii="David" w:hAnsi="David" w:cs="David"/>
          <w:sz w:val="28"/>
          <w:szCs w:val="28"/>
          <w:rtl/>
        </w:rPr>
        <w:t>)</w:t>
      </w:r>
    </w:p>
    <w:p w:rsidR="00DD5BA2" w:rsidRDefault="00DD5BA2" w:rsidP="00DD5BA2">
      <w:pPr>
        <w:pStyle w:val="ad"/>
        <w:spacing w:line="360" w:lineRule="auto"/>
        <w:ind w:left="-172"/>
        <w:jc w:val="both"/>
        <w:rPr>
          <w:rFonts w:ascii="David" w:hAnsi="David" w:cs="David"/>
          <w:sz w:val="28"/>
          <w:szCs w:val="28"/>
        </w:rPr>
      </w:pPr>
    </w:p>
    <w:p w:rsidR="00E0607A" w:rsidRDefault="00E0607A" w:rsidP="00E0607A">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כללי ומסגרת הדיון בפרסום הראשון</w:t>
      </w:r>
    </w:p>
    <w:p w:rsidR="00E0607A" w:rsidRDefault="00E0607A" w:rsidP="00E0607A">
      <w:pPr>
        <w:pStyle w:val="ad"/>
        <w:numPr>
          <w:ilvl w:val="0"/>
          <w:numId w:val="11"/>
        </w:numPr>
        <w:spacing w:line="360" w:lineRule="auto"/>
        <w:jc w:val="both"/>
        <w:rPr>
          <w:rFonts w:ascii="David" w:hAnsi="David" w:cs="David"/>
          <w:sz w:val="24"/>
          <w:szCs w:val="24"/>
        </w:rPr>
      </w:pPr>
      <w:r>
        <w:rPr>
          <w:rFonts w:ascii="David" w:hAnsi="David" w:cs="David"/>
          <w:sz w:val="24"/>
          <w:szCs w:val="24"/>
          <w:rtl/>
        </w:rPr>
        <w:t xml:space="preserve">הפרסום הראשון בגינו הוגשה התביעה כלל את האמירה - </w:t>
      </w:r>
      <w:r>
        <w:rPr>
          <w:rFonts w:ascii="David" w:hAnsi="David" w:cs="David"/>
          <w:b/>
          <w:bCs/>
          <w:sz w:val="24"/>
          <w:szCs w:val="24"/>
          <w:rtl/>
        </w:rPr>
        <w:t>"דרעי, עבריין מורשע ש</w:t>
      </w:r>
      <w:r>
        <w:rPr>
          <w:rFonts w:ascii="David" w:hAnsi="David" w:cs="David"/>
          <w:b/>
          <w:bCs/>
          <w:sz w:val="24"/>
          <w:szCs w:val="24"/>
          <w:u w:val="single"/>
          <w:rtl/>
        </w:rPr>
        <w:t>דמם של 45 נספי אסון מירון מרוח על ידיו</w:t>
      </w:r>
      <w:r>
        <w:rPr>
          <w:rFonts w:ascii="David" w:hAnsi="David" w:cs="David"/>
          <w:b/>
          <w:bCs/>
          <w:sz w:val="24"/>
          <w:szCs w:val="24"/>
          <w:rtl/>
        </w:rPr>
        <w:t>"</w:t>
      </w:r>
      <w:r>
        <w:rPr>
          <w:rFonts w:ascii="David" w:hAnsi="David" w:cs="David"/>
          <w:sz w:val="24"/>
          <w:szCs w:val="24"/>
          <w:rtl/>
        </w:rPr>
        <w:t>. ניתן לחלק את הפרסום לשניים – לאמירה לפיה התובע הוא "עבריין מורשע" ולאמירה לפיה "דמם של 45 נספי אסון מירון מרוח על ידיו" של התובע.</w:t>
      </w:r>
    </w:p>
    <w:p w:rsidR="00E0607A" w:rsidRDefault="00E0607A" w:rsidP="00E0607A">
      <w:pPr>
        <w:pStyle w:val="ad"/>
        <w:spacing w:line="360" w:lineRule="auto"/>
        <w:ind w:left="755"/>
        <w:jc w:val="both"/>
        <w:rPr>
          <w:rFonts w:ascii="David" w:hAnsi="David" w:cs="David"/>
          <w:sz w:val="24"/>
          <w:szCs w:val="24"/>
        </w:rPr>
      </w:pPr>
    </w:p>
    <w:p w:rsidR="00E0607A" w:rsidRDefault="00E0607A" w:rsidP="00E0607A">
      <w:pPr>
        <w:pStyle w:val="ad"/>
        <w:numPr>
          <w:ilvl w:val="0"/>
          <w:numId w:val="11"/>
        </w:numPr>
        <w:spacing w:line="360" w:lineRule="auto"/>
        <w:jc w:val="both"/>
        <w:rPr>
          <w:rFonts w:ascii="David" w:hAnsi="David" w:cs="David"/>
          <w:sz w:val="24"/>
          <w:szCs w:val="24"/>
        </w:rPr>
      </w:pPr>
      <w:r>
        <w:rPr>
          <w:rFonts w:ascii="David" w:hAnsi="David" w:cs="David"/>
          <w:sz w:val="24"/>
          <w:szCs w:val="24"/>
          <w:rtl/>
        </w:rPr>
        <w:t>בפסקאות הבאות יובא הדיון ביחס לפרסום הראשון, כשהוא מחולק כדלקמן:</w:t>
      </w:r>
    </w:p>
    <w:p w:rsidR="00E0607A" w:rsidRDefault="00E0607A" w:rsidP="00E0607A">
      <w:pPr>
        <w:pStyle w:val="ad"/>
        <w:rPr>
          <w:rFonts w:ascii="David" w:hAnsi="David" w:cs="David"/>
          <w:sz w:val="24"/>
          <w:szCs w:val="24"/>
        </w:rPr>
      </w:pPr>
    </w:p>
    <w:p w:rsidR="00E0607A" w:rsidRDefault="006A60F8" w:rsidP="006A60F8">
      <w:pPr>
        <w:pStyle w:val="ad"/>
        <w:numPr>
          <w:ilvl w:val="0"/>
          <w:numId w:val="9"/>
        </w:numPr>
        <w:spacing w:line="360" w:lineRule="auto"/>
        <w:jc w:val="both"/>
        <w:rPr>
          <w:rFonts w:ascii="David" w:hAnsi="David" w:cs="David"/>
          <w:sz w:val="24"/>
          <w:szCs w:val="24"/>
          <w:rtl/>
        </w:rPr>
      </w:pPr>
      <w:r w:rsidRPr="008920A3">
        <w:rPr>
          <w:rFonts w:ascii="David" w:hAnsi="David" w:cs="David" w:hint="cs"/>
          <w:sz w:val="24"/>
          <w:szCs w:val="24"/>
          <w:u w:val="single"/>
          <w:rtl/>
        </w:rPr>
        <w:t>ראשית</w:t>
      </w:r>
      <w:r>
        <w:rPr>
          <w:rFonts w:ascii="David" w:hAnsi="David" w:cs="David" w:hint="cs"/>
          <w:sz w:val="24"/>
          <w:szCs w:val="24"/>
          <w:rtl/>
        </w:rPr>
        <w:t xml:space="preserve">, </w:t>
      </w:r>
      <w:r w:rsidR="00E0607A">
        <w:rPr>
          <w:rFonts w:ascii="David" w:hAnsi="David" w:cs="David"/>
          <w:sz w:val="24"/>
          <w:szCs w:val="24"/>
          <w:rtl/>
        </w:rPr>
        <w:t>אתייחס לכך שהאמירה אינה "חסינה" מביקורת ולא מתקיימים בה הוראות סעיף 13 לחוק איסור לשון הרע</w:t>
      </w:r>
      <w:r>
        <w:rPr>
          <w:rFonts w:ascii="David" w:hAnsi="David" w:cs="David" w:hint="cs"/>
          <w:sz w:val="24"/>
          <w:szCs w:val="24"/>
          <w:rtl/>
        </w:rPr>
        <w:t xml:space="preserve"> </w:t>
      </w:r>
      <w:r>
        <w:rPr>
          <w:rFonts w:ascii="David" w:hAnsi="David" w:cs="David"/>
          <w:sz w:val="24"/>
          <w:szCs w:val="24"/>
          <w:rtl/>
        </w:rPr>
        <w:t>(סעיף 3.2 להלן)</w:t>
      </w:r>
      <w:r w:rsidR="00E0607A">
        <w:rPr>
          <w:rFonts w:ascii="David" w:hAnsi="David" w:cs="David"/>
          <w:sz w:val="24"/>
          <w:szCs w:val="24"/>
          <w:rtl/>
        </w:rPr>
        <w:t>;</w:t>
      </w:r>
    </w:p>
    <w:p w:rsidR="00E0607A" w:rsidRDefault="00E0607A" w:rsidP="00E0607A">
      <w:pPr>
        <w:pStyle w:val="ad"/>
        <w:spacing w:line="360" w:lineRule="auto"/>
        <w:ind w:left="1115"/>
        <w:jc w:val="both"/>
        <w:rPr>
          <w:rFonts w:ascii="David" w:hAnsi="David" w:cs="David"/>
          <w:sz w:val="24"/>
          <w:szCs w:val="24"/>
        </w:rPr>
      </w:pPr>
    </w:p>
    <w:p w:rsidR="00E0607A" w:rsidRDefault="006A60F8" w:rsidP="006A60F8">
      <w:pPr>
        <w:pStyle w:val="ad"/>
        <w:numPr>
          <w:ilvl w:val="0"/>
          <w:numId w:val="9"/>
        </w:numPr>
        <w:spacing w:line="360" w:lineRule="auto"/>
        <w:jc w:val="both"/>
        <w:rPr>
          <w:rFonts w:ascii="David" w:hAnsi="David" w:cs="David"/>
          <w:sz w:val="24"/>
          <w:szCs w:val="24"/>
        </w:rPr>
      </w:pPr>
      <w:r w:rsidRPr="008920A3">
        <w:rPr>
          <w:rFonts w:ascii="David" w:hAnsi="David" w:cs="David" w:hint="cs"/>
          <w:sz w:val="24"/>
          <w:szCs w:val="24"/>
          <w:u w:val="single"/>
          <w:rtl/>
        </w:rPr>
        <w:t>שנית</w:t>
      </w:r>
      <w:r>
        <w:rPr>
          <w:rFonts w:ascii="David" w:hAnsi="David" w:cs="David" w:hint="cs"/>
          <w:sz w:val="24"/>
          <w:szCs w:val="24"/>
          <w:rtl/>
        </w:rPr>
        <w:t>,</w:t>
      </w:r>
      <w:r w:rsidR="00E0607A">
        <w:rPr>
          <w:rFonts w:ascii="David" w:hAnsi="David" w:cs="David"/>
          <w:sz w:val="24"/>
          <w:szCs w:val="24"/>
          <w:rtl/>
        </w:rPr>
        <w:t xml:space="preserve"> אתייחס לאמירה לפיה התובע הוא "עבריין מורשע". כפי שיובהר, בנסיבות המקרה – אין מדובר בהוצאת לשון הרע</w:t>
      </w:r>
      <w:r>
        <w:rPr>
          <w:rFonts w:ascii="David" w:hAnsi="David" w:cs="David" w:hint="cs"/>
          <w:sz w:val="24"/>
          <w:szCs w:val="24"/>
          <w:rtl/>
        </w:rPr>
        <w:t xml:space="preserve"> </w:t>
      </w:r>
      <w:r>
        <w:rPr>
          <w:rFonts w:ascii="David" w:hAnsi="David" w:cs="David"/>
          <w:sz w:val="24"/>
          <w:szCs w:val="24"/>
          <w:rtl/>
        </w:rPr>
        <w:t>(סעיף 3.3 להלן)</w:t>
      </w:r>
      <w:r w:rsidR="00E0607A">
        <w:rPr>
          <w:rFonts w:ascii="David" w:hAnsi="David" w:cs="David"/>
          <w:sz w:val="24"/>
          <w:szCs w:val="24"/>
          <w:rtl/>
        </w:rPr>
        <w:t xml:space="preserve">. </w:t>
      </w:r>
    </w:p>
    <w:p w:rsidR="00E0607A" w:rsidRDefault="00E0607A" w:rsidP="00E0607A">
      <w:pPr>
        <w:pStyle w:val="ad"/>
        <w:spacing w:line="360" w:lineRule="auto"/>
        <w:ind w:left="1115"/>
        <w:jc w:val="both"/>
        <w:rPr>
          <w:rFonts w:ascii="David" w:hAnsi="David" w:cs="David"/>
          <w:sz w:val="24"/>
          <w:szCs w:val="24"/>
        </w:rPr>
      </w:pPr>
    </w:p>
    <w:p w:rsidR="00E0607A" w:rsidRDefault="006A60F8" w:rsidP="006A60F8">
      <w:pPr>
        <w:pStyle w:val="ad"/>
        <w:numPr>
          <w:ilvl w:val="0"/>
          <w:numId w:val="9"/>
        </w:numPr>
        <w:spacing w:line="360" w:lineRule="auto"/>
        <w:jc w:val="both"/>
        <w:rPr>
          <w:rFonts w:ascii="David" w:hAnsi="David" w:cs="David"/>
          <w:sz w:val="24"/>
          <w:szCs w:val="24"/>
        </w:rPr>
      </w:pPr>
      <w:r w:rsidRPr="008920A3">
        <w:rPr>
          <w:rFonts w:ascii="David" w:hAnsi="David" w:cs="David" w:hint="cs"/>
          <w:sz w:val="24"/>
          <w:szCs w:val="24"/>
          <w:u w:val="single"/>
          <w:rtl/>
        </w:rPr>
        <w:t>שלישית</w:t>
      </w:r>
      <w:r>
        <w:rPr>
          <w:rFonts w:ascii="David" w:hAnsi="David" w:cs="David" w:hint="cs"/>
          <w:sz w:val="24"/>
          <w:szCs w:val="24"/>
          <w:rtl/>
        </w:rPr>
        <w:t xml:space="preserve">, </w:t>
      </w:r>
      <w:r w:rsidR="00E0607A">
        <w:rPr>
          <w:rFonts w:ascii="David" w:hAnsi="David" w:cs="David"/>
          <w:sz w:val="24"/>
          <w:szCs w:val="24"/>
          <w:rtl/>
        </w:rPr>
        <w:t>אתייחס לאמירה לפיה "דמם של 45 נספי אסון מירון מרוח על ידיו" של התובע. אמירה זו היא בגדר הוצאת לשון הרע</w:t>
      </w:r>
      <w:r>
        <w:rPr>
          <w:rFonts w:ascii="David" w:hAnsi="David" w:cs="David" w:hint="cs"/>
          <w:sz w:val="24"/>
          <w:szCs w:val="24"/>
          <w:rtl/>
        </w:rPr>
        <w:t xml:space="preserve"> </w:t>
      </w:r>
      <w:r>
        <w:rPr>
          <w:rFonts w:ascii="David" w:hAnsi="David" w:cs="David"/>
          <w:sz w:val="24"/>
          <w:szCs w:val="24"/>
          <w:rtl/>
        </w:rPr>
        <w:t xml:space="preserve"> (סעיף 3.4 להלן)</w:t>
      </w:r>
      <w:r w:rsidR="00E0607A">
        <w:rPr>
          <w:rFonts w:ascii="David" w:hAnsi="David" w:cs="David"/>
          <w:sz w:val="24"/>
          <w:szCs w:val="24"/>
          <w:rtl/>
        </w:rPr>
        <w:t>.</w:t>
      </w:r>
    </w:p>
    <w:p w:rsidR="00E0607A" w:rsidRDefault="00E0607A" w:rsidP="00E0607A">
      <w:pPr>
        <w:pStyle w:val="ad"/>
        <w:rPr>
          <w:rFonts w:ascii="David" w:hAnsi="David" w:cs="David"/>
          <w:sz w:val="24"/>
          <w:szCs w:val="24"/>
        </w:rPr>
      </w:pPr>
    </w:p>
    <w:p w:rsidR="00E0607A" w:rsidRDefault="00E0607A" w:rsidP="006A60F8">
      <w:pPr>
        <w:pStyle w:val="ad"/>
        <w:numPr>
          <w:ilvl w:val="0"/>
          <w:numId w:val="9"/>
        </w:numPr>
        <w:spacing w:line="360" w:lineRule="auto"/>
        <w:jc w:val="both"/>
        <w:rPr>
          <w:rFonts w:ascii="David" w:hAnsi="David" w:cs="David"/>
          <w:sz w:val="24"/>
          <w:szCs w:val="24"/>
          <w:rtl/>
        </w:rPr>
      </w:pPr>
      <w:r>
        <w:rPr>
          <w:rFonts w:ascii="David" w:hAnsi="David" w:cs="David"/>
          <w:sz w:val="24"/>
          <w:szCs w:val="24"/>
          <w:rtl/>
        </w:rPr>
        <w:t>לסיום הדיון אתייחס לכך שלנתבע גם לא עומדת כל הגנה מכח הדין</w:t>
      </w:r>
      <w:r w:rsidR="006A60F8">
        <w:rPr>
          <w:rFonts w:ascii="David" w:hAnsi="David" w:cs="David" w:hint="cs"/>
          <w:sz w:val="24"/>
          <w:szCs w:val="24"/>
          <w:rtl/>
        </w:rPr>
        <w:t xml:space="preserve"> </w:t>
      </w:r>
      <w:r w:rsidR="006A60F8">
        <w:rPr>
          <w:rFonts w:ascii="David" w:hAnsi="David" w:cs="David"/>
          <w:sz w:val="24"/>
          <w:szCs w:val="24"/>
          <w:rtl/>
        </w:rPr>
        <w:t>(סעיפים 3.7 – 3.5 להלן)</w:t>
      </w:r>
      <w:r>
        <w:rPr>
          <w:rFonts w:ascii="David" w:hAnsi="David" w:cs="David"/>
          <w:sz w:val="24"/>
          <w:szCs w:val="24"/>
          <w:rtl/>
        </w:rPr>
        <w:t>.</w:t>
      </w:r>
    </w:p>
    <w:p w:rsidR="00DD5BA2" w:rsidRDefault="00DD5BA2" w:rsidP="00E0607A">
      <w:pPr>
        <w:pStyle w:val="ad"/>
        <w:rPr>
          <w:rFonts w:ascii="David" w:hAnsi="David" w:cs="David"/>
          <w:sz w:val="24"/>
          <w:szCs w:val="24"/>
          <w:rtl/>
        </w:rPr>
      </w:pPr>
    </w:p>
    <w:p w:rsidR="00DD5BA2" w:rsidRDefault="00DD5BA2" w:rsidP="00E0607A">
      <w:pPr>
        <w:pStyle w:val="ad"/>
        <w:rPr>
          <w:rFonts w:ascii="David" w:hAnsi="David" w:cs="David"/>
          <w:sz w:val="24"/>
          <w:szCs w:val="24"/>
          <w:rtl/>
        </w:rPr>
      </w:pPr>
    </w:p>
    <w:p w:rsidR="00DD5BA2" w:rsidRDefault="00DD5BA2" w:rsidP="00E0607A">
      <w:pPr>
        <w:pStyle w:val="ad"/>
        <w:rPr>
          <w:rFonts w:ascii="David" w:hAnsi="David" w:cs="David"/>
          <w:sz w:val="24"/>
          <w:szCs w:val="24"/>
        </w:rPr>
      </w:pPr>
    </w:p>
    <w:p w:rsidR="00E0607A" w:rsidRDefault="00E0607A" w:rsidP="00E0607A">
      <w:pPr>
        <w:pStyle w:val="ad"/>
        <w:numPr>
          <w:ilvl w:val="1"/>
          <w:numId w:val="1"/>
        </w:numPr>
        <w:spacing w:line="360" w:lineRule="auto"/>
        <w:ind w:left="395" w:hanging="567"/>
        <w:jc w:val="both"/>
        <w:rPr>
          <w:rFonts w:ascii="David" w:hAnsi="David" w:cs="David"/>
          <w:b/>
          <w:bCs/>
          <w:sz w:val="24"/>
          <w:szCs w:val="24"/>
          <w:rtl/>
        </w:rPr>
      </w:pPr>
      <w:r>
        <w:rPr>
          <w:rFonts w:ascii="David" w:hAnsi="David" w:cs="David"/>
          <w:b/>
          <w:bCs/>
          <w:sz w:val="24"/>
          <w:szCs w:val="24"/>
          <w:u w:val="single"/>
          <w:rtl/>
        </w:rPr>
        <w:lastRenderedPageBreak/>
        <w:t>האמירה אינה חסינה מביקורת ולא מתקיימים בה הוראות סעיף 13 לחוק איסור לשון הרע</w:t>
      </w:r>
      <w:r>
        <w:rPr>
          <w:rFonts w:ascii="David" w:hAnsi="David" w:cs="David"/>
          <w:b/>
          <w:bCs/>
          <w:sz w:val="24"/>
          <w:szCs w:val="24"/>
          <w:rtl/>
        </w:rPr>
        <w:t xml:space="preserve"> </w:t>
      </w:r>
    </w:p>
    <w:p w:rsidR="00E0607A" w:rsidRDefault="00E0607A" w:rsidP="00E0607A">
      <w:pPr>
        <w:pStyle w:val="ad"/>
        <w:numPr>
          <w:ilvl w:val="0"/>
          <w:numId w:val="12"/>
        </w:numPr>
        <w:spacing w:line="360" w:lineRule="auto"/>
        <w:jc w:val="both"/>
        <w:rPr>
          <w:rFonts w:ascii="David" w:hAnsi="David" w:cs="David"/>
          <w:sz w:val="24"/>
          <w:szCs w:val="24"/>
        </w:rPr>
      </w:pPr>
      <w:r>
        <w:rPr>
          <w:rFonts w:ascii="David" w:hAnsi="David" w:cs="David"/>
          <w:sz w:val="24"/>
          <w:szCs w:val="24"/>
          <w:rtl/>
        </w:rPr>
        <w:t>חוק איסור לשון הרע קובע סדרה של "פרסומים מותרים". פרסומים שאף אם אינם מחמיאים למושא הפרסום, עדיין הם חסינים מפני תביעה ואין לראות בהם משום הוצאת לשון הרע.</w:t>
      </w:r>
    </w:p>
    <w:p w:rsidR="00E0607A" w:rsidRDefault="00E0607A" w:rsidP="00E0607A">
      <w:pPr>
        <w:pStyle w:val="ad"/>
        <w:spacing w:line="360" w:lineRule="auto"/>
        <w:ind w:left="755"/>
        <w:jc w:val="both"/>
        <w:rPr>
          <w:rFonts w:ascii="David" w:hAnsi="David" w:cs="David"/>
          <w:sz w:val="24"/>
          <w:szCs w:val="24"/>
        </w:rPr>
      </w:pPr>
    </w:p>
    <w:p w:rsidR="00E0607A" w:rsidRDefault="00E0607A" w:rsidP="00DD5BA2">
      <w:pPr>
        <w:pStyle w:val="ad"/>
        <w:numPr>
          <w:ilvl w:val="0"/>
          <w:numId w:val="12"/>
        </w:numPr>
        <w:spacing w:line="360" w:lineRule="auto"/>
        <w:jc w:val="both"/>
        <w:rPr>
          <w:rFonts w:ascii="David" w:hAnsi="David" w:cs="David"/>
          <w:sz w:val="24"/>
          <w:szCs w:val="24"/>
        </w:rPr>
      </w:pPr>
      <w:r>
        <w:rPr>
          <w:rFonts w:ascii="David" w:hAnsi="David" w:cs="David"/>
          <w:sz w:val="24"/>
          <w:szCs w:val="24"/>
          <w:rtl/>
        </w:rPr>
        <w:t>'הפרסומים</w:t>
      </w:r>
      <w:r w:rsidR="00DD5BA2">
        <w:rPr>
          <w:rFonts w:ascii="David" w:hAnsi="David" w:cs="David"/>
          <w:sz w:val="24"/>
          <w:szCs w:val="24"/>
          <w:rtl/>
        </w:rPr>
        <w:t xml:space="preserve"> המותרים' מפורטים בסעיף 13 לחוק</w:t>
      </w:r>
      <w:r w:rsidR="00DD5BA2">
        <w:rPr>
          <w:rFonts w:ascii="David" w:hAnsi="David" w:cs="David" w:hint="cs"/>
          <w:sz w:val="24"/>
          <w:szCs w:val="24"/>
          <w:rtl/>
        </w:rPr>
        <w:t xml:space="preserve"> כאשר </w:t>
      </w:r>
      <w:r>
        <w:rPr>
          <w:rFonts w:ascii="David" w:hAnsi="David" w:cs="David"/>
          <w:sz w:val="24"/>
          <w:szCs w:val="24"/>
          <w:rtl/>
        </w:rPr>
        <w:t xml:space="preserve">סעיפים 13(6), 13(7) ו-13(11) </w:t>
      </w:r>
      <w:r w:rsidR="00DD5BA2">
        <w:rPr>
          <w:rFonts w:ascii="David" w:hAnsi="David" w:cs="David" w:hint="cs"/>
          <w:sz w:val="24"/>
          <w:szCs w:val="24"/>
          <w:rtl/>
        </w:rPr>
        <w:t>קובעים כך</w:t>
      </w:r>
      <w:r>
        <w:rPr>
          <w:rFonts w:ascii="David" w:hAnsi="David" w:cs="David"/>
          <w:sz w:val="24"/>
          <w:szCs w:val="24"/>
          <w:rtl/>
        </w:rPr>
        <w:t>:</w:t>
      </w:r>
    </w:p>
    <w:p w:rsidR="00E0607A" w:rsidRDefault="00E0607A" w:rsidP="00E0607A">
      <w:pPr>
        <w:pStyle w:val="ad"/>
        <w:spacing w:line="360" w:lineRule="auto"/>
        <w:ind w:left="2160" w:hanging="631"/>
        <w:jc w:val="both"/>
        <w:rPr>
          <w:rFonts w:ascii="David" w:hAnsi="David" w:cs="David"/>
          <w:b/>
          <w:bCs/>
          <w:sz w:val="24"/>
          <w:szCs w:val="24"/>
        </w:rPr>
      </w:pPr>
      <w:r>
        <w:rPr>
          <w:rFonts w:ascii="David" w:hAnsi="David" w:cs="David"/>
          <w:b/>
          <w:bCs/>
          <w:sz w:val="24"/>
          <w:szCs w:val="24"/>
          <w:rtl/>
        </w:rPr>
        <w:t>(6)</w:t>
      </w:r>
      <w:r>
        <w:rPr>
          <w:rFonts w:ascii="David" w:hAnsi="David" w:cs="David"/>
          <w:b/>
          <w:bCs/>
          <w:sz w:val="24"/>
          <w:szCs w:val="24"/>
          <w:rtl/>
        </w:rPr>
        <w:tab/>
      </w:r>
      <w:r>
        <w:rPr>
          <w:rFonts w:ascii="David" w:hAnsi="David" w:cs="David"/>
          <w:b/>
          <w:bCs/>
          <w:color w:val="000000"/>
          <w:sz w:val="24"/>
          <w:szCs w:val="24"/>
          <w:rtl/>
        </w:rPr>
        <w:t>פרסום על ידי חבר ועדת חקירה, כמשמעותה בסעיף 22 לחוק-יסוד: הכנסת או בפקודת ועדות חקירה, שנעשה תוך כדי דיון בפני הועדה, או בדין וחשבון שלה, או פרסום על ידי אדם שענינו משמש נושא לחקירת הועדה, בא כוחו של אדם כזה או עד, שנעשה תוך כדי דיון כאמור</w:t>
      </w:r>
      <w:r>
        <w:rPr>
          <w:rFonts w:ascii="David" w:hAnsi="David" w:cs="David"/>
          <w:b/>
          <w:bCs/>
          <w:color w:val="000000"/>
          <w:sz w:val="24"/>
          <w:szCs w:val="24"/>
        </w:rPr>
        <w:t>;</w:t>
      </w:r>
    </w:p>
    <w:p w:rsidR="00E0607A" w:rsidRDefault="00E0607A" w:rsidP="00E0607A">
      <w:pPr>
        <w:pStyle w:val="ad"/>
        <w:spacing w:line="360" w:lineRule="auto"/>
        <w:ind w:left="2160" w:hanging="631"/>
        <w:jc w:val="both"/>
        <w:rPr>
          <w:rFonts w:ascii="David" w:hAnsi="David" w:cs="David"/>
          <w:b/>
          <w:bCs/>
          <w:sz w:val="24"/>
          <w:szCs w:val="24"/>
          <w:rtl/>
        </w:rPr>
      </w:pPr>
    </w:p>
    <w:p w:rsidR="00E0607A" w:rsidRDefault="00E0607A" w:rsidP="00E0607A">
      <w:pPr>
        <w:pStyle w:val="ad"/>
        <w:spacing w:line="360" w:lineRule="auto"/>
        <w:ind w:left="2160" w:hanging="631"/>
        <w:jc w:val="both"/>
        <w:rPr>
          <w:rFonts w:ascii="David" w:hAnsi="David" w:cs="David"/>
          <w:b/>
          <w:bCs/>
          <w:sz w:val="24"/>
          <w:szCs w:val="24"/>
          <w:rtl/>
        </w:rPr>
      </w:pPr>
      <w:r>
        <w:rPr>
          <w:rFonts w:ascii="David" w:hAnsi="David" w:cs="David"/>
          <w:b/>
          <w:bCs/>
          <w:sz w:val="24"/>
          <w:szCs w:val="24"/>
          <w:rtl/>
        </w:rPr>
        <w:t xml:space="preserve">(7) </w:t>
      </w:r>
      <w:r>
        <w:rPr>
          <w:rFonts w:ascii="David" w:hAnsi="David" w:cs="David"/>
          <w:b/>
          <w:bCs/>
          <w:sz w:val="24"/>
          <w:szCs w:val="24"/>
          <w:rtl/>
        </w:rPr>
        <w:tab/>
      </w:r>
      <w:r>
        <w:rPr>
          <w:rFonts w:ascii="David" w:hAnsi="David" w:cs="David"/>
          <w:b/>
          <w:bCs/>
          <w:color w:val="000000"/>
          <w:sz w:val="24"/>
          <w:szCs w:val="24"/>
          <w:rtl/>
        </w:rPr>
        <w:t>דין וחשבון נכון והוגן על מה שנאמר או אירע כאמור בפסקאות (5) או (6) בישיבה פומבית, ובלבד שהפרסום לא נאסר לפי סעיף 2</w:t>
      </w:r>
      <w:r>
        <w:rPr>
          <w:rFonts w:ascii="David" w:hAnsi="David" w:cs="David"/>
          <w:b/>
          <w:bCs/>
          <w:color w:val="000000"/>
          <w:sz w:val="24"/>
          <w:szCs w:val="24"/>
        </w:rPr>
        <w:t>;</w:t>
      </w:r>
    </w:p>
    <w:p w:rsidR="00E0607A" w:rsidRDefault="00E0607A" w:rsidP="00E0607A">
      <w:pPr>
        <w:pStyle w:val="ad"/>
        <w:spacing w:line="360" w:lineRule="auto"/>
        <w:ind w:left="2160" w:hanging="631"/>
        <w:jc w:val="both"/>
        <w:rPr>
          <w:rFonts w:ascii="David" w:hAnsi="David" w:cs="David"/>
          <w:b/>
          <w:bCs/>
          <w:sz w:val="24"/>
          <w:szCs w:val="24"/>
          <w:rtl/>
        </w:rPr>
      </w:pPr>
      <w:r>
        <w:rPr>
          <w:rFonts w:ascii="David" w:hAnsi="David" w:cs="David"/>
          <w:b/>
          <w:bCs/>
          <w:sz w:val="24"/>
          <w:szCs w:val="24"/>
          <w:rtl/>
        </w:rPr>
        <w:t>...</w:t>
      </w:r>
    </w:p>
    <w:p w:rsidR="00E0607A" w:rsidRDefault="00E0607A" w:rsidP="00E0607A">
      <w:pPr>
        <w:pStyle w:val="ad"/>
        <w:spacing w:line="360" w:lineRule="auto"/>
        <w:ind w:left="2160" w:hanging="631"/>
        <w:jc w:val="both"/>
        <w:rPr>
          <w:rFonts w:ascii="David" w:hAnsi="David" w:cs="David"/>
          <w:b/>
          <w:bCs/>
          <w:sz w:val="24"/>
          <w:szCs w:val="24"/>
          <w:rtl/>
        </w:rPr>
      </w:pPr>
      <w:r>
        <w:rPr>
          <w:rFonts w:ascii="David" w:hAnsi="David" w:cs="David"/>
          <w:b/>
          <w:bCs/>
          <w:sz w:val="24"/>
          <w:szCs w:val="24"/>
          <w:rtl/>
        </w:rPr>
        <w:t xml:space="preserve">(11) </w:t>
      </w:r>
      <w:r>
        <w:rPr>
          <w:rFonts w:ascii="David" w:hAnsi="David" w:cs="David"/>
          <w:b/>
          <w:bCs/>
          <w:sz w:val="24"/>
          <w:szCs w:val="24"/>
          <w:rtl/>
        </w:rPr>
        <w:tab/>
      </w:r>
      <w:r>
        <w:rPr>
          <w:rFonts w:ascii="David" w:hAnsi="David" w:cs="David"/>
          <w:b/>
          <w:bCs/>
          <w:color w:val="000000"/>
          <w:sz w:val="24"/>
          <w:szCs w:val="24"/>
          <w:shd w:val="clear" w:color="auto" w:fill="FFFFFF"/>
          <w:rtl/>
        </w:rPr>
        <w:t>פרסום נכון והוגן – מלא, חלקי או תמציתי – של מה שפורסם קודם לכן בנסיבות האמורות בפסקאות (1), (3), (4), (7), (8), (9) או (10), ופרסום חוזר כאמור של מה שפורסם בישיבת הממשלה והממשלה התירה לפרסמו</w:t>
      </w:r>
      <w:r>
        <w:rPr>
          <w:rFonts w:ascii="David" w:hAnsi="David" w:cs="David"/>
          <w:b/>
          <w:bCs/>
          <w:color w:val="000000"/>
          <w:sz w:val="24"/>
          <w:szCs w:val="24"/>
          <w:shd w:val="clear" w:color="auto" w:fill="FFFFFF"/>
        </w:rPr>
        <w:t>.</w:t>
      </w:r>
    </w:p>
    <w:p w:rsidR="00E0607A" w:rsidRDefault="00E0607A" w:rsidP="00E0607A">
      <w:pPr>
        <w:pStyle w:val="ad"/>
        <w:spacing w:line="360" w:lineRule="auto"/>
        <w:ind w:left="395"/>
        <w:jc w:val="both"/>
        <w:rPr>
          <w:rFonts w:ascii="David" w:hAnsi="David" w:cs="David"/>
          <w:b/>
          <w:bCs/>
          <w:sz w:val="24"/>
          <w:szCs w:val="24"/>
        </w:rPr>
      </w:pPr>
    </w:p>
    <w:p w:rsidR="00E0607A" w:rsidRPr="000456A9" w:rsidRDefault="00E0607A" w:rsidP="000456A9">
      <w:pPr>
        <w:pStyle w:val="ad"/>
        <w:spacing w:line="360" w:lineRule="auto"/>
        <w:ind w:hanging="325"/>
        <w:jc w:val="both"/>
        <w:rPr>
          <w:rFonts w:ascii="David" w:hAnsi="David" w:cs="David"/>
          <w:sz w:val="24"/>
          <w:szCs w:val="24"/>
        </w:rPr>
      </w:pPr>
      <w:r>
        <w:rPr>
          <w:rFonts w:ascii="David" w:hAnsi="David" w:cs="David"/>
          <w:b/>
          <w:bCs/>
          <w:sz w:val="24"/>
          <w:szCs w:val="24"/>
          <w:rtl/>
        </w:rPr>
        <w:tab/>
      </w:r>
      <w:r>
        <w:rPr>
          <w:rFonts w:ascii="David" w:hAnsi="David" w:cs="David"/>
          <w:sz w:val="24"/>
          <w:szCs w:val="24"/>
          <w:rtl/>
        </w:rPr>
        <w:t>צא וראה, הפרסומים המותרים בסעיפים אלה יוחדו לפרסום על ידי חבר ועדת חקירה או פרסום דין וחשבון הוגן על מה שנאמר או אירע בישיבה פו</w:t>
      </w:r>
      <w:r w:rsidR="00DD5BA2">
        <w:rPr>
          <w:rFonts w:ascii="David" w:hAnsi="David" w:cs="David"/>
          <w:sz w:val="24"/>
          <w:szCs w:val="24"/>
          <w:rtl/>
        </w:rPr>
        <w:t>מבית. הנתבע והפרסום לא עונים על</w:t>
      </w:r>
      <w:r>
        <w:rPr>
          <w:rFonts w:ascii="David" w:hAnsi="David" w:cs="David"/>
          <w:sz w:val="24"/>
          <w:szCs w:val="24"/>
          <w:rtl/>
        </w:rPr>
        <w:t xml:space="preserve"> אף אחת מהגדרות אלה.</w:t>
      </w:r>
      <w:r w:rsidR="000456A9">
        <w:rPr>
          <w:rFonts w:ascii="David" w:hAnsi="David" w:cs="David" w:hint="cs"/>
          <w:sz w:val="24"/>
          <w:szCs w:val="24"/>
          <w:rtl/>
        </w:rPr>
        <w:t xml:space="preserve"> </w:t>
      </w:r>
      <w:r w:rsidR="00A84C23" w:rsidRPr="000456A9">
        <w:rPr>
          <w:rFonts w:ascii="David" w:hAnsi="David" w:cs="David" w:hint="cs"/>
          <w:sz w:val="24"/>
          <w:szCs w:val="24"/>
          <w:rtl/>
        </w:rPr>
        <w:t xml:space="preserve">עיון בהוראות </w:t>
      </w:r>
      <w:r w:rsidR="00A84C23" w:rsidRPr="000456A9">
        <w:rPr>
          <w:rFonts w:ascii="David" w:hAnsi="David" w:cs="David"/>
          <w:sz w:val="24"/>
          <w:szCs w:val="24"/>
          <w:rtl/>
        </w:rPr>
        <w:t>סעיפים 13(6) או 13(7) וכן לא 13(11) לחוק איסור לשון הרע</w:t>
      </w:r>
      <w:r w:rsidR="00A84C23" w:rsidRPr="000456A9">
        <w:rPr>
          <w:rFonts w:ascii="David" w:hAnsi="David" w:cs="David" w:hint="cs"/>
          <w:sz w:val="24"/>
          <w:szCs w:val="24"/>
          <w:rtl/>
        </w:rPr>
        <w:t xml:space="preserve"> מלמד ש</w:t>
      </w:r>
      <w:r w:rsidRPr="000456A9">
        <w:rPr>
          <w:rFonts w:ascii="David" w:hAnsi="David" w:cs="David"/>
          <w:sz w:val="24"/>
          <w:szCs w:val="24"/>
          <w:rtl/>
        </w:rPr>
        <w:t>הנתבע והפרסום לא עונים על אף אחת מהגדרות שכן:</w:t>
      </w:r>
    </w:p>
    <w:p w:rsidR="00A84C23" w:rsidRDefault="00A84C23" w:rsidP="00A84C23">
      <w:pPr>
        <w:pStyle w:val="ad"/>
        <w:spacing w:line="360" w:lineRule="auto"/>
        <w:ind w:left="755"/>
        <w:jc w:val="both"/>
        <w:rPr>
          <w:rFonts w:ascii="David" w:hAnsi="David" w:cs="David"/>
          <w:sz w:val="24"/>
          <w:szCs w:val="24"/>
          <w:rtl/>
        </w:rPr>
      </w:pPr>
    </w:p>
    <w:p w:rsidR="00E0607A" w:rsidRDefault="00E0607A" w:rsidP="00E0607A">
      <w:pPr>
        <w:pStyle w:val="ad"/>
        <w:numPr>
          <w:ilvl w:val="0"/>
          <w:numId w:val="9"/>
        </w:numPr>
        <w:spacing w:line="360" w:lineRule="auto"/>
        <w:jc w:val="both"/>
        <w:rPr>
          <w:rFonts w:ascii="David" w:hAnsi="David" w:cs="David"/>
          <w:sz w:val="24"/>
          <w:szCs w:val="24"/>
        </w:rPr>
      </w:pPr>
      <w:r>
        <w:rPr>
          <w:rFonts w:ascii="David" w:hAnsi="David" w:cs="David"/>
          <w:sz w:val="24"/>
          <w:szCs w:val="24"/>
          <w:rtl/>
        </w:rPr>
        <w:t>הנתבע אינו חבר ועדת החקירה הממלכתית לחקר אסון הר מירון, ומכאן סעיף 13(6) אינו רלוונטי אליו;</w:t>
      </w:r>
    </w:p>
    <w:p w:rsidR="00E0607A" w:rsidRDefault="00E0607A" w:rsidP="00E0607A">
      <w:pPr>
        <w:pStyle w:val="ad"/>
        <w:spacing w:line="360" w:lineRule="auto"/>
        <w:ind w:left="1115"/>
        <w:jc w:val="both"/>
        <w:rPr>
          <w:rFonts w:ascii="David" w:hAnsi="David" w:cs="David"/>
          <w:sz w:val="24"/>
          <w:szCs w:val="24"/>
        </w:rPr>
      </w:pPr>
    </w:p>
    <w:p w:rsidR="00E0607A" w:rsidRDefault="00E0607A" w:rsidP="00E0607A">
      <w:pPr>
        <w:pStyle w:val="ad"/>
        <w:numPr>
          <w:ilvl w:val="0"/>
          <w:numId w:val="9"/>
        </w:numPr>
        <w:spacing w:line="360" w:lineRule="auto"/>
        <w:jc w:val="both"/>
        <w:rPr>
          <w:rFonts w:ascii="David" w:hAnsi="David" w:cs="David"/>
          <w:sz w:val="24"/>
          <w:szCs w:val="24"/>
        </w:rPr>
      </w:pPr>
      <w:r>
        <w:rPr>
          <w:rFonts w:ascii="David" w:hAnsi="David" w:cs="David"/>
          <w:sz w:val="24"/>
          <w:szCs w:val="24"/>
          <w:rtl/>
        </w:rPr>
        <w:t xml:space="preserve">הפרסום, במלוא הכבוד, לא היה "דין וחשבון הוגן" של דיוני הוועדה לבדיקת אסון מירון.  כאן ייאמר שבמסגרת הדיון ואף לאחריו, הפנה הנתבע לאמירות שונות ועדויות שונות שעלו במסגרת הוועדה. הנתבע אף הוסיף בקשה להשלמת תצהיר ובה צירף דו"ח אליו נחשף </w:t>
      </w:r>
      <w:r>
        <w:rPr>
          <w:rFonts w:ascii="David" w:hAnsi="David" w:cs="David"/>
          <w:sz w:val="24"/>
          <w:szCs w:val="24"/>
          <w:u w:val="single"/>
          <w:rtl/>
        </w:rPr>
        <w:t>זמן רב</w:t>
      </w:r>
      <w:r>
        <w:rPr>
          <w:rFonts w:ascii="David" w:hAnsi="David" w:cs="David"/>
          <w:sz w:val="24"/>
          <w:szCs w:val="24"/>
          <w:rtl/>
        </w:rPr>
        <w:t xml:space="preserve"> לאחר הפרסום. דו"ח מומחים מיוחד שהוכן כ"חוות דעת לבית המשפט" מטעם משטרת ישראל. דו"ח אשר מבקש על פניו להגן על גורמי המשטרה ולנקות אותם מאשמה. אותו דו"ח שהתגלה במאוחר ומיועד להגן על גורמי המשטרה, כוול גם אמירות ביחס לתובע והנטען "מסמן את דרעי כאחראי".</w:t>
      </w:r>
    </w:p>
    <w:p w:rsidR="00E0607A" w:rsidRDefault="00E0607A" w:rsidP="00E0607A">
      <w:pPr>
        <w:pStyle w:val="ad"/>
        <w:rPr>
          <w:rFonts w:ascii="David" w:hAnsi="David" w:cs="David"/>
          <w:sz w:val="24"/>
          <w:szCs w:val="24"/>
        </w:rPr>
      </w:pPr>
    </w:p>
    <w:p w:rsidR="00E0607A" w:rsidRDefault="00E0607A" w:rsidP="00E0607A">
      <w:pPr>
        <w:pStyle w:val="ad"/>
        <w:numPr>
          <w:ilvl w:val="0"/>
          <w:numId w:val="9"/>
        </w:numPr>
        <w:spacing w:line="360" w:lineRule="auto"/>
        <w:jc w:val="both"/>
        <w:rPr>
          <w:rFonts w:ascii="David" w:hAnsi="David" w:cs="David"/>
          <w:sz w:val="24"/>
          <w:szCs w:val="24"/>
          <w:rtl/>
        </w:rPr>
      </w:pPr>
      <w:r>
        <w:rPr>
          <w:rFonts w:ascii="David" w:hAnsi="David" w:cs="David"/>
          <w:sz w:val="24"/>
          <w:szCs w:val="24"/>
          <w:rtl/>
        </w:rPr>
        <w:t xml:space="preserve">כך או כך, הנתבע לא התייחס במאמר לאותו דו"ח הגנה שהזמינה המשטרה. דו"ח שכלל לא היה ידוע לו. הנתבע גם לא סייג, כאמור, בפרסום את דבריו. כל אלה מביאים לכך שאין לראות בפרסום כ"דין וחשבון נכון והוגן", כמשמעות סעיף 13(7) לחוק.  </w:t>
      </w:r>
    </w:p>
    <w:p w:rsidR="00E0607A" w:rsidRDefault="00E0607A" w:rsidP="00E0607A">
      <w:pPr>
        <w:pStyle w:val="ad"/>
        <w:spacing w:line="360" w:lineRule="auto"/>
        <w:ind w:left="395"/>
        <w:jc w:val="both"/>
        <w:rPr>
          <w:rFonts w:ascii="David" w:hAnsi="David" w:cs="David"/>
          <w:b/>
          <w:bCs/>
          <w:sz w:val="24"/>
          <w:szCs w:val="24"/>
          <w:rtl/>
        </w:rPr>
      </w:pPr>
    </w:p>
    <w:p w:rsidR="00E0607A" w:rsidRDefault="00E0607A" w:rsidP="00E0607A">
      <w:pPr>
        <w:pStyle w:val="ad"/>
        <w:numPr>
          <w:ilvl w:val="1"/>
          <w:numId w:val="1"/>
        </w:numPr>
        <w:spacing w:line="360" w:lineRule="auto"/>
        <w:ind w:left="395" w:hanging="567"/>
        <w:jc w:val="both"/>
        <w:rPr>
          <w:rFonts w:ascii="David" w:hAnsi="David" w:cs="David"/>
          <w:b/>
          <w:bCs/>
          <w:sz w:val="24"/>
          <w:szCs w:val="24"/>
        </w:rPr>
      </w:pPr>
      <w:r>
        <w:rPr>
          <w:rFonts w:ascii="David" w:hAnsi="David" w:cs="David"/>
          <w:b/>
          <w:bCs/>
          <w:sz w:val="24"/>
          <w:szCs w:val="24"/>
          <w:u w:val="single"/>
          <w:rtl/>
        </w:rPr>
        <w:t>האמירה – "עבריין מורשע" – אמירה מוגנת לאור הרשעת התובע כבר בשנת 1999</w:t>
      </w:r>
    </w:p>
    <w:p w:rsidR="00E0607A" w:rsidRDefault="00E0607A" w:rsidP="00E0607A">
      <w:pPr>
        <w:pStyle w:val="ad"/>
        <w:numPr>
          <w:ilvl w:val="0"/>
          <w:numId w:val="13"/>
        </w:numPr>
        <w:spacing w:line="360" w:lineRule="auto"/>
        <w:jc w:val="both"/>
        <w:rPr>
          <w:rFonts w:ascii="David" w:hAnsi="David" w:cs="David"/>
          <w:sz w:val="24"/>
          <w:szCs w:val="24"/>
        </w:rPr>
      </w:pPr>
      <w:r>
        <w:rPr>
          <w:rFonts w:ascii="David" w:hAnsi="David" w:cs="David"/>
          <w:sz w:val="24"/>
          <w:szCs w:val="24"/>
          <w:rtl/>
        </w:rPr>
        <w:t>אין חולק על כך שהנתבע הורשע בעבר ואף ישב בכלא בגין כך. הנתבע הפנה לכך שבשנת 1999, למעלה מעשרים שנה לפני הפרסומים כאן הורשע התובע כדבריו בעבירת שוחד, שלוש  עבירות מרמה והפרת אמונים וקבלת דבר במרמה בנסיבות מחמירות. הנתבע אף התייחס להרשעת התובע מיום 1/2/2022 בעבירות מס וזאת בעקבות הסדר טיעון מחודש דצמבר 2021 שהוגש לאישור במסגרת ת"פ (שלום י-ם) 56231-12-21. אין מקום להתייחס להרשעה זו שכן הסדר הטיעון וההרשעה בעקבותיו – הם אירועים שלאחר הפרסומים בגינם הוגשה התביעה. מכאן, אין מקום לאפשר לנתבע להתבסס בדיעבד על הרשעה שלא היתה במועד הפרסום.</w:t>
      </w:r>
    </w:p>
    <w:p w:rsidR="00E0607A" w:rsidRDefault="00E0607A" w:rsidP="00E0607A">
      <w:pPr>
        <w:pStyle w:val="ad"/>
        <w:spacing w:line="360" w:lineRule="auto"/>
        <w:ind w:left="755"/>
        <w:jc w:val="both"/>
        <w:rPr>
          <w:rFonts w:ascii="David" w:hAnsi="David" w:cs="David"/>
          <w:sz w:val="24"/>
          <w:szCs w:val="24"/>
        </w:rPr>
      </w:pPr>
    </w:p>
    <w:p w:rsidR="00E0607A" w:rsidRDefault="00E0607A" w:rsidP="00E0607A">
      <w:pPr>
        <w:pStyle w:val="ad"/>
        <w:spacing w:line="360" w:lineRule="auto"/>
        <w:ind w:left="755"/>
        <w:jc w:val="both"/>
        <w:rPr>
          <w:rFonts w:ascii="David" w:hAnsi="David" w:cs="David"/>
          <w:sz w:val="24"/>
          <w:szCs w:val="24"/>
        </w:rPr>
      </w:pPr>
      <w:r>
        <w:rPr>
          <w:rFonts w:ascii="David" w:hAnsi="David" w:cs="David"/>
          <w:sz w:val="24"/>
          <w:szCs w:val="24"/>
          <w:rtl/>
        </w:rPr>
        <w:t xml:space="preserve">התובע מצידו התייחס להרשעה משנת 1999 והדגיש שריצה את עונשו </w:t>
      </w:r>
      <w:r>
        <w:rPr>
          <w:rFonts w:ascii="David" w:hAnsi="David" w:cs="David"/>
          <w:b/>
          <w:bCs/>
          <w:sz w:val="24"/>
          <w:szCs w:val="24"/>
          <w:rtl/>
        </w:rPr>
        <w:t>"כבר לפני כמעט 20 שנים ושב מאז לחיים הפוליטיים בישראל"</w:t>
      </w:r>
      <w:r>
        <w:rPr>
          <w:rFonts w:ascii="David" w:hAnsi="David" w:cs="David"/>
          <w:sz w:val="24"/>
          <w:szCs w:val="24"/>
          <w:rtl/>
        </w:rPr>
        <w:t>. עוד טען התובע ש</w:t>
      </w:r>
      <w:r>
        <w:rPr>
          <w:rFonts w:ascii="David" w:hAnsi="David" w:cs="David"/>
          <w:b/>
          <w:bCs/>
          <w:sz w:val="24"/>
          <w:szCs w:val="24"/>
          <w:rtl/>
        </w:rPr>
        <w:t>"אדם סביר הקורא את המילים עלול לחשוב שהתובע כבר הורשע בענין אסון מירון"</w:t>
      </w:r>
      <w:r>
        <w:rPr>
          <w:rFonts w:ascii="David" w:hAnsi="David" w:cs="David"/>
          <w:sz w:val="24"/>
          <w:szCs w:val="24"/>
          <w:rtl/>
        </w:rPr>
        <w:t>.</w:t>
      </w:r>
    </w:p>
    <w:p w:rsidR="00E0607A" w:rsidRDefault="00E0607A" w:rsidP="00E0607A">
      <w:pPr>
        <w:pStyle w:val="ad"/>
        <w:spacing w:line="360" w:lineRule="auto"/>
        <w:ind w:left="755"/>
        <w:jc w:val="both"/>
        <w:rPr>
          <w:rFonts w:ascii="David" w:hAnsi="David" w:cs="David"/>
          <w:sz w:val="24"/>
          <w:szCs w:val="24"/>
        </w:rPr>
      </w:pPr>
    </w:p>
    <w:p w:rsidR="00E0607A" w:rsidRDefault="00E0607A" w:rsidP="00E0607A">
      <w:pPr>
        <w:pStyle w:val="ad"/>
        <w:numPr>
          <w:ilvl w:val="0"/>
          <w:numId w:val="13"/>
        </w:numPr>
        <w:spacing w:line="360" w:lineRule="auto"/>
        <w:jc w:val="both"/>
        <w:rPr>
          <w:rFonts w:ascii="David" w:hAnsi="David" w:cs="David"/>
          <w:sz w:val="24"/>
          <w:szCs w:val="24"/>
        </w:rPr>
      </w:pPr>
      <w:r>
        <w:rPr>
          <w:rFonts w:ascii="David" w:hAnsi="David" w:cs="David"/>
          <w:sz w:val="24"/>
          <w:szCs w:val="24"/>
          <w:rtl/>
        </w:rPr>
        <w:t>בעניינינו, אין לראות את האמירה "עבריין מורשע" כהוצאת לשון הרע שכן עומדת לתובע לכל הפחות הגנת "אמת דיברתי". התובע אכן הורשע בעבר בעבירות שונות וזאת כבר בשנת 1999. העובדה שחלפו למעלה מעשרים שנה ממועד ההרשעה ו"כמעט עשרים שנה" מריצוי העונש בגינה אינה שוללת את חירותו של הנתבע להתייחס לאותה הרשעה.</w:t>
      </w:r>
    </w:p>
    <w:p w:rsidR="00E0607A" w:rsidRDefault="00E0607A" w:rsidP="00E0607A">
      <w:pPr>
        <w:pStyle w:val="ad"/>
        <w:rPr>
          <w:rFonts w:ascii="David" w:hAnsi="David" w:cs="David"/>
          <w:sz w:val="24"/>
          <w:szCs w:val="24"/>
        </w:rPr>
      </w:pPr>
    </w:p>
    <w:p w:rsidR="00E0607A" w:rsidRDefault="00E0607A" w:rsidP="00E0607A">
      <w:pPr>
        <w:pStyle w:val="ad"/>
        <w:numPr>
          <w:ilvl w:val="0"/>
          <w:numId w:val="13"/>
        </w:numPr>
        <w:spacing w:line="360" w:lineRule="auto"/>
        <w:jc w:val="both"/>
        <w:rPr>
          <w:rFonts w:ascii="David" w:hAnsi="David" w:cs="David"/>
          <w:sz w:val="24"/>
          <w:szCs w:val="24"/>
          <w:rtl/>
        </w:rPr>
      </w:pPr>
      <w:r>
        <w:rPr>
          <w:rFonts w:ascii="David" w:hAnsi="David" w:cs="David"/>
          <w:sz w:val="24"/>
          <w:szCs w:val="24"/>
          <w:rtl/>
        </w:rPr>
        <w:t>כאן המקום לציין שהמחוקק אכן ביקש להגן על מי שחטא אך חזר למוטב ואכן קבע כללים בהם לא תהיה התייחסות להרשעות קודמות של אדם. לענין זה נקבעו בסעיף 14 ל</w:t>
      </w:r>
      <w:r>
        <w:rPr>
          <w:rFonts w:ascii="David" w:hAnsi="David" w:cs="David"/>
          <w:sz w:val="24"/>
          <w:szCs w:val="24"/>
          <w:u w:val="single"/>
          <w:rtl/>
        </w:rPr>
        <w:t>חוק המרשם הפלילי ותקנת השבים</w:t>
      </w:r>
      <w:r>
        <w:rPr>
          <w:rFonts w:ascii="David" w:hAnsi="David" w:cs="David"/>
          <w:sz w:val="24"/>
          <w:szCs w:val="24"/>
          <w:rtl/>
        </w:rPr>
        <w:t>, תשמ"א - 1981 תקופות "התיישנות הרשעה" אשר מבוססות על שנות המאסר שנגזרו על נאשם שהורשע, בין אם הורשע כבגיר ובין אם הורשע כקטין.</w:t>
      </w:r>
    </w:p>
    <w:p w:rsidR="00E0607A" w:rsidRDefault="00E0607A" w:rsidP="00E0607A">
      <w:pPr>
        <w:pStyle w:val="ad"/>
        <w:rPr>
          <w:rFonts w:ascii="David" w:hAnsi="David" w:cs="David"/>
          <w:sz w:val="24"/>
          <w:szCs w:val="24"/>
        </w:rPr>
      </w:pPr>
    </w:p>
    <w:p w:rsidR="00E0607A" w:rsidRDefault="00E0607A" w:rsidP="00E0607A">
      <w:pPr>
        <w:pStyle w:val="ad"/>
        <w:numPr>
          <w:ilvl w:val="0"/>
          <w:numId w:val="13"/>
        </w:numPr>
        <w:spacing w:line="360" w:lineRule="auto"/>
        <w:jc w:val="both"/>
        <w:rPr>
          <w:rFonts w:ascii="David" w:hAnsi="David" w:cs="David"/>
          <w:sz w:val="24"/>
          <w:szCs w:val="24"/>
          <w:rtl/>
        </w:rPr>
      </w:pPr>
      <w:r>
        <w:rPr>
          <w:rFonts w:ascii="David" w:hAnsi="David" w:cs="David"/>
          <w:sz w:val="24"/>
          <w:szCs w:val="24"/>
          <w:rtl/>
        </w:rPr>
        <w:t xml:space="preserve">הוראות "חוק המרשם הפלילי ותקנת השבים" אוסרות על משטרת ישראל למסור מידע כלשהו ביחס להרשעה, בכל מקרה בו חלפה לה תקופת התיישנות ההרשעה. לענין זה קובע סעיף 14 לחוק כך – </w:t>
      </w:r>
      <w:r>
        <w:rPr>
          <w:rFonts w:ascii="David" w:hAnsi="David" w:cs="David"/>
          <w:b/>
          <w:bCs/>
          <w:sz w:val="24"/>
          <w:szCs w:val="24"/>
          <w:rtl/>
        </w:rPr>
        <w:t>"לא יימסר מידע לפי סעיפים 6 עד 9 אם עברו מיום פסק הדין או ההחלטה התקופות המפורטות להלן (בחוק זה - תקופת ההתיישנות)"</w:t>
      </w:r>
      <w:r>
        <w:rPr>
          <w:rFonts w:ascii="David" w:hAnsi="David" w:cs="David"/>
          <w:sz w:val="24"/>
          <w:szCs w:val="24"/>
          <w:rtl/>
        </w:rPr>
        <w:t xml:space="preserve">. </w:t>
      </w:r>
      <w:r>
        <w:rPr>
          <w:rFonts w:ascii="David" w:hAnsi="David" w:cs="David"/>
          <w:sz w:val="24"/>
          <w:szCs w:val="24"/>
          <w:u w:val="single"/>
          <w:rtl/>
        </w:rPr>
        <w:t>ואולם</w:t>
      </w:r>
      <w:r>
        <w:rPr>
          <w:rFonts w:ascii="David" w:hAnsi="David" w:cs="David"/>
          <w:sz w:val="24"/>
          <w:szCs w:val="24"/>
          <w:rtl/>
        </w:rPr>
        <w:t xml:space="preserve"> הוראות החוק אינן רלוונטיות לפרסומים עיתונאיים או לכל פרסום או דיווח שלא על ידי משטרת ישראל. בוודאי אין בהוראות החוק כדי לחסום כל אזכור מאוחר של הרשעה, אפילו אם אותה הרשעה התיישנה לצורך המידע הנזכר בחוק המרשם הפלילי ותקנת השבים.</w:t>
      </w:r>
    </w:p>
    <w:p w:rsidR="00E0607A" w:rsidRDefault="00E0607A" w:rsidP="00E0607A">
      <w:pPr>
        <w:pStyle w:val="ad"/>
        <w:rPr>
          <w:rFonts w:ascii="David" w:hAnsi="David" w:cs="David"/>
          <w:sz w:val="24"/>
          <w:szCs w:val="24"/>
        </w:rPr>
      </w:pPr>
    </w:p>
    <w:p w:rsidR="00E0607A" w:rsidRDefault="00E0607A" w:rsidP="00E0607A">
      <w:pPr>
        <w:pStyle w:val="ad"/>
        <w:spacing w:line="360" w:lineRule="auto"/>
        <w:ind w:left="755"/>
        <w:jc w:val="both"/>
        <w:rPr>
          <w:rFonts w:ascii="David" w:hAnsi="David" w:cs="David"/>
          <w:sz w:val="24"/>
          <w:szCs w:val="24"/>
          <w:rtl/>
        </w:rPr>
      </w:pPr>
      <w:r>
        <w:rPr>
          <w:rFonts w:ascii="David" w:hAnsi="David" w:cs="David"/>
          <w:sz w:val="24"/>
          <w:szCs w:val="24"/>
          <w:rtl/>
        </w:rPr>
        <w:t xml:space="preserve">ובמילים פשוטות, חוק המרשם הפלילי ותקנת השבים </w:t>
      </w:r>
      <w:r>
        <w:rPr>
          <w:rFonts w:ascii="David" w:hAnsi="David" w:cs="David"/>
          <w:sz w:val="24"/>
          <w:szCs w:val="24"/>
          <w:u w:val="single"/>
          <w:rtl/>
        </w:rPr>
        <w:t>לא</w:t>
      </w:r>
      <w:r>
        <w:rPr>
          <w:rFonts w:ascii="David" w:hAnsi="David" w:cs="David"/>
          <w:sz w:val="24"/>
          <w:szCs w:val="24"/>
          <w:rtl/>
        </w:rPr>
        <w:t xml:space="preserve"> אוסר ציון העובדה שאדם כלשהו הרשע בעבירה פלילית, זאת אף אם חלפו שנים רבות ממועדי ההרשעה וריצוי העונש. </w:t>
      </w:r>
    </w:p>
    <w:p w:rsidR="00E0607A" w:rsidRDefault="00E0607A" w:rsidP="00E0607A">
      <w:pPr>
        <w:pStyle w:val="ad"/>
        <w:ind w:left="-172"/>
        <w:rPr>
          <w:rFonts w:ascii="David" w:hAnsi="David" w:cs="David"/>
          <w:sz w:val="24"/>
          <w:szCs w:val="24"/>
          <w:rtl/>
        </w:rPr>
      </w:pPr>
    </w:p>
    <w:p w:rsidR="00E0607A" w:rsidRDefault="00E0607A" w:rsidP="00E0607A">
      <w:pPr>
        <w:pStyle w:val="ad"/>
        <w:numPr>
          <w:ilvl w:val="0"/>
          <w:numId w:val="13"/>
        </w:numPr>
        <w:spacing w:line="360" w:lineRule="auto"/>
        <w:jc w:val="both"/>
        <w:rPr>
          <w:rFonts w:ascii="David" w:hAnsi="David" w:cs="David"/>
          <w:sz w:val="24"/>
          <w:szCs w:val="24"/>
          <w:rtl/>
        </w:rPr>
      </w:pPr>
      <w:r>
        <w:rPr>
          <w:rFonts w:ascii="David" w:hAnsi="David" w:cs="David"/>
          <w:sz w:val="24"/>
          <w:szCs w:val="24"/>
          <w:rtl/>
        </w:rPr>
        <w:t xml:space="preserve">נתתי דעתי לכך שעל מנת לזכות בהגנת "אמת דיברתי", לא די בכך שהדברים שנאמרו היו אמת. לענין זה קובע סעיף 14 לחוק איסור לשון הרע, תשכ"ה – 1965, שני רכיבים מצטברים ומתחייבים </w:t>
      </w:r>
      <w:r>
        <w:rPr>
          <w:rFonts w:ascii="David" w:hAnsi="David" w:cs="David"/>
          <w:sz w:val="24"/>
          <w:szCs w:val="24"/>
          <w:rtl/>
        </w:rPr>
        <w:lastRenderedPageBreak/>
        <w:t xml:space="preserve">ל"הגנת האמת בפרסום" – הן רכיב ה"אמת" שבפרסום והן רכיב "ענין ציבורי". וכלשון סעיף 14 לחוק (ההדגשה לא במקור) – </w:t>
      </w:r>
      <w:r>
        <w:rPr>
          <w:rFonts w:ascii="David" w:hAnsi="David" w:cs="David"/>
          <w:b/>
          <w:bCs/>
          <w:sz w:val="24"/>
          <w:szCs w:val="24"/>
          <w:rtl/>
        </w:rPr>
        <w:t>"</w:t>
      </w:r>
      <w:r>
        <w:rPr>
          <w:rFonts w:ascii="David" w:eastAsia="Times New Roman" w:hAnsi="David" w:cs="David"/>
          <w:b/>
          <w:bCs/>
          <w:sz w:val="24"/>
          <w:szCs w:val="24"/>
          <w:rtl/>
        </w:rPr>
        <w:t xml:space="preserve">במשפט פלילי או אזרחי בשל לשון הרע תהא זאת הגנה טובה שהדבר שפורסם היה אמת והיה בפרסום </w:t>
      </w:r>
      <w:r>
        <w:rPr>
          <w:rFonts w:ascii="David" w:eastAsia="Times New Roman" w:hAnsi="David" w:cs="David"/>
          <w:b/>
          <w:bCs/>
          <w:sz w:val="24"/>
          <w:szCs w:val="24"/>
          <w:u w:val="single"/>
          <w:rtl/>
        </w:rPr>
        <w:t>ענין ציבורי</w:t>
      </w:r>
      <w:r>
        <w:rPr>
          <w:rFonts w:ascii="David" w:hAnsi="David" w:cs="David"/>
          <w:b/>
          <w:bCs/>
          <w:sz w:val="24"/>
          <w:szCs w:val="24"/>
          <w:rtl/>
        </w:rPr>
        <w:t>..."</w:t>
      </w:r>
      <w:r>
        <w:rPr>
          <w:rFonts w:ascii="David" w:hAnsi="David" w:cs="David"/>
          <w:sz w:val="24"/>
          <w:szCs w:val="24"/>
          <w:rtl/>
        </w:rPr>
        <w:t>.</w:t>
      </w:r>
    </w:p>
    <w:p w:rsidR="00E0607A" w:rsidRDefault="00E0607A" w:rsidP="006A60F8">
      <w:pPr>
        <w:pStyle w:val="ad"/>
        <w:spacing w:line="360" w:lineRule="auto"/>
        <w:ind w:left="755"/>
        <w:jc w:val="both"/>
        <w:rPr>
          <w:rFonts w:ascii="David" w:hAnsi="David" w:cs="David"/>
          <w:sz w:val="24"/>
          <w:szCs w:val="24"/>
        </w:rPr>
      </w:pPr>
      <w:r>
        <w:rPr>
          <w:rFonts w:ascii="David" w:hAnsi="David" w:cs="David"/>
          <w:sz w:val="24"/>
          <w:szCs w:val="24"/>
          <w:rtl/>
        </w:rPr>
        <w:t>על פניו ניתן היה לשאול, מה טעם מצא הנתבע לכרוך בין הרשעה כדבריו בעבירות מרמה למעלה מעשרים שנים לפני אירוע הר מירון לבין הרוגי האסון. עם זאת, בעניינינו הטעם ברור ומכאן גם הענין הציבורי שמקים הגנה לנתבע. אמירות הנתבע היו בגדר ביקורת על התנהלות התובע במסגרת תפקידיו ומעמדו הציבורי. מכאן אזכר הנתבע התנהלות אחרת, רחוקת שנים, של הנתבע במסגרת תפקיד ציבורי. האזכור אינו מחמיא בהכרח לתובע, אך הוא מותר ומוגן מכח החוק.</w:t>
      </w:r>
    </w:p>
    <w:p w:rsidR="00E0607A" w:rsidRDefault="00E0607A" w:rsidP="00E0607A">
      <w:pPr>
        <w:pStyle w:val="ad"/>
        <w:spacing w:line="360" w:lineRule="auto"/>
        <w:ind w:left="755"/>
        <w:jc w:val="both"/>
        <w:rPr>
          <w:rFonts w:ascii="David" w:hAnsi="David" w:cs="David"/>
          <w:sz w:val="24"/>
          <w:szCs w:val="24"/>
          <w:rtl/>
        </w:rPr>
      </w:pPr>
    </w:p>
    <w:p w:rsidR="00E0607A" w:rsidRDefault="00E0607A" w:rsidP="000456A9">
      <w:pPr>
        <w:pStyle w:val="ad"/>
        <w:numPr>
          <w:ilvl w:val="0"/>
          <w:numId w:val="13"/>
        </w:numPr>
        <w:spacing w:line="360" w:lineRule="auto"/>
        <w:jc w:val="both"/>
        <w:rPr>
          <w:rFonts w:ascii="David" w:hAnsi="David" w:cs="David"/>
          <w:sz w:val="24"/>
          <w:szCs w:val="24"/>
          <w:rtl/>
        </w:rPr>
      </w:pPr>
      <w:r>
        <w:rPr>
          <w:rFonts w:ascii="David" w:hAnsi="David" w:cs="David"/>
          <w:sz w:val="24"/>
          <w:szCs w:val="24"/>
          <w:rtl/>
        </w:rPr>
        <w:t xml:space="preserve"> </w:t>
      </w:r>
      <w:r w:rsidR="000456A9" w:rsidRPr="000456A9">
        <w:rPr>
          <w:rFonts w:ascii="David" w:hAnsi="David" w:cs="David" w:hint="cs"/>
          <w:sz w:val="24"/>
          <w:szCs w:val="24"/>
          <w:u w:val="single"/>
          <w:rtl/>
        </w:rPr>
        <w:t>סיכום עד כאן ביחס לביטוי "עבריין מורשע"</w:t>
      </w:r>
      <w:r w:rsidR="000456A9">
        <w:rPr>
          <w:rFonts w:ascii="David" w:hAnsi="David" w:cs="David" w:hint="cs"/>
          <w:sz w:val="24"/>
          <w:szCs w:val="24"/>
          <w:rtl/>
        </w:rPr>
        <w:t xml:space="preserve"> - </w:t>
      </w:r>
      <w:r>
        <w:rPr>
          <w:rFonts w:ascii="David" w:hAnsi="David" w:cs="David"/>
          <w:sz w:val="24"/>
          <w:szCs w:val="24"/>
          <w:rtl/>
        </w:rPr>
        <w:t>מכל האמור לעיל עולה שהאמירה "עבריין מורשע", בנסיבות שתוארו לעיל, אינה בגדר עוולת לשון הרע ומכאן אין לחייב את הנתבע בגינה.</w:t>
      </w:r>
    </w:p>
    <w:p w:rsidR="00E0607A" w:rsidRDefault="00E0607A" w:rsidP="00E0607A">
      <w:pPr>
        <w:pStyle w:val="ad"/>
        <w:rPr>
          <w:rFonts w:ascii="David" w:hAnsi="David" w:cs="David"/>
          <w:sz w:val="24"/>
          <w:szCs w:val="24"/>
        </w:rPr>
      </w:pPr>
    </w:p>
    <w:p w:rsidR="00E0607A" w:rsidRDefault="00E0607A" w:rsidP="00E0607A">
      <w:pPr>
        <w:pStyle w:val="ad"/>
        <w:rPr>
          <w:rFonts w:ascii="David" w:hAnsi="David" w:cs="David"/>
          <w:sz w:val="24"/>
          <w:szCs w:val="24"/>
          <w:rtl/>
        </w:rPr>
      </w:pPr>
    </w:p>
    <w:p w:rsidR="00E0607A" w:rsidRDefault="00E0607A" w:rsidP="00E0607A">
      <w:pPr>
        <w:pStyle w:val="ad"/>
        <w:numPr>
          <w:ilvl w:val="1"/>
          <w:numId w:val="1"/>
        </w:numPr>
        <w:spacing w:line="360" w:lineRule="auto"/>
        <w:ind w:left="395" w:hanging="567"/>
        <w:jc w:val="both"/>
        <w:rPr>
          <w:rFonts w:ascii="David" w:hAnsi="David" w:cs="David"/>
          <w:b/>
          <w:bCs/>
          <w:sz w:val="24"/>
          <w:szCs w:val="24"/>
          <w:rtl/>
        </w:rPr>
      </w:pPr>
      <w:r>
        <w:rPr>
          <w:rFonts w:ascii="David" w:hAnsi="David" w:cs="David"/>
          <w:b/>
          <w:bCs/>
          <w:sz w:val="24"/>
          <w:szCs w:val="24"/>
          <w:u w:val="single"/>
          <w:rtl/>
        </w:rPr>
        <w:t>ולעומת זאת, האמירה – "דמם של 45 נספי אסון מירון מרוח על ידיו" – היא אמירה מכפישה ובגדר הוצאת לשון הרע</w:t>
      </w:r>
    </w:p>
    <w:p w:rsidR="00E0607A" w:rsidRDefault="00E0607A" w:rsidP="00E0607A">
      <w:pPr>
        <w:pStyle w:val="ad"/>
        <w:numPr>
          <w:ilvl w:val="0"/>
          <w:numId w:val="14"/>
        </w:numPr>
        <w:spacing w:line="360" w:lineRule="auto"/>
        <w:jc w:val="both"/>
        <w:rPr>
          <w:rFonts w:ascii="David" w:hAnsi="David" w:cs="David"/>
          <w:sz w:val="24"/>
          <w:szCs w:val="24"/>
        </w:rPr>
      </w:pPr>
      <w:r>
        <w:rPr>
          <w:rFonts w:ascii="David" w:hAnsi="David" w:cs="David"/>
          <w:sz w:val="24"/>
          <w:szCs w:val="24"/>
          <w:rtl/>
        </w:rPr>
        <w:t>האמירה "דמם של 45 נספי אסון מירון מרוח על ידיו", מקשרת ישירות בין מותם של הרוגי האסון לבין התובע. קורא סביר אשר נחשף לאמירה כזו בהחלט יכול לקבל את הרושם כאילו התובע הוא זה שאשם במותם של ארבעים וחמישה ההרוגים באסון. אין מדובר בדיווח אינפורמטיבי או אזכור הרשעה פלילית של אדם – אלא קביעה עיתונאית בדבר אחריות אישית למותם של אנשים.</w:t>
      </w:r>
    </w:p>
    <w:p w:rsidR="00E0607A" w:rsidRDefault="00E0607A" w:rsidP="00E0607A">
      <w:pPr>
        <w:pStyle w:val="ad"/>
        <w:spacing w:line="360" w:lineRule="auto"/>
        <w:ind w:left="755"/>
        <w:jc w:val="both"/>
        <w:rPr>
          <w:rFonts w:ascii="David" w:hAnsi="David" w:cs="David"/>
          <w:sz w:val="24"/>
          <w:szCs w:val="24"/>
        </w:rPr>
      </w:pPr>
    </w:p>
    <w:p w:rsidR="00E0607A" w:rsidRDefault="00E0607A" w:rsidP="00E0607A">
      <w:pPr>
        <w:pStyle w:val="ad"/>
        <w:numPr>
          <w:ilvl w:val="0"/>
          <w:numId w:val="14"/>
        </w:numPr>
        <w:spacing w:line="360" w:lineRule="auto"/>
        <w:jc w:val="both"/>
        <w:rPr>
          <w:rFonts w:ascii="David" w:hAnsi="David" w:cs="David"/>
          <w:sz w:val="24"/>
          <w:szCs w:val="24"/>
        </w:rPr>
      </w:pPr>
      <w:r>
        <w:rPr>
          <w:rFonts w:ascii="David" w:hAnsi="David" w:cs="David"/>
          <w:sz w:val="24"/>
          <w:szCs w:val="24"/>
          <w:rtl/>
        </w:rPr>
        <w:t xml:space="preserve">כאן אוסיף שהאמירה אף לא סויגה ולא הוגבלה, בוודאי לא בפרסום הראשון. כך למשל, לא נכתב שהתובע </w:t>
      </w:r>
      <w:r>
        <w:rPr>
          <w:rFonts w:ascii="David" w:hAnsi="David" w:cs="David"/>
          <w:sz w:val="24"/>
          <w:szCs w:val="24"/>
          <w:u w:val="single"/>
          <w:rtl/>
        </w:rPr>
        <w:t>עלול להיות מואשם</w:t>
      </w:r>
      <w:r>
        <w:rPr>
          <w:rFonts w:ascii="David" w:hAnsi="David" w:cs="David"/>
          <w:sz w:val="24"/>
          <w:szCs w:val="24"/>
          <w:rtl/>
        </w:rPr>
        <w:t xml:space="preserve"> במותם של הרוגי האסון. לא נכתב שהתובע </w:t>
      </w:r>
      <w:r>
        <w:rPr>
          <w:rFonts w:ascii="David" w:hAnsi="David" w:cs="David"/>
          <w:sz w:val="24"/>
          <w:szCs w:val="24"/>
          <w:u w:val="single"/>
          <w:rtl/>
        </w:rPr>
        <w:t>עלול להיחקר</w:t>
      </w:r>
      <w:r>
        <w:rPr>
          <w:rFonts w:ascii="David" w:hAnsi="David" w:cs="David"/>
          <w:sz w:val="24"/>
          <w:szCs w:val="24"/>
          <w:rtl/>
        </w:rPr>
        <w:t xml:space="preserve"> בגין מותם של הרוגי האסון. האמירה נוסחה ונכתבה כקביעה וכמסד להמשך מאמר הדעה של הנתבע.</w:t>
      </w:r>
    </w:p>
    <w:p w:rsidR="00E0607A" w:rsidRDefault="00E0607A" w:rsidP="00E0607A">
      <w:pPr>
        <w:pStyle w:val="ad"/>
        <w:rPr>
          <w:rFonts w:ascii="David" w:hAnsi="David" w:cs="David"/>
          <w:sz w:val="24"/>
          <w:szCs w:val="24"/>
        </w:rPr>
      </w:pPr>
    </w:p>
    <w:p w:rsidR="00E0607A" w:rsidRDefault="00E0607A" w:rsidP="000738A9">
      <w:pPr>
        <w:pStyle w:val="ad"/>
        <w:numPr>
          <w:ilvl w:val="0"/>
          <w:numId w:val="14"/>
        </w:numPr>
        <w:spacing w:line="360" w:lineRule="auto"/>
        <w:jc w:val="both"/>
        <w:rPr>
          <w:rFonts w:ascii="David" w:hAnsi="David" w:cs="David"/>
          <w:sz w:val="24"/>
          <w:szCs w:val="24"/>
          <w:rtl/>
        </w:rPr>
      </w:pPr>
      <w:r>
        <w:rPr>
          <w:rFonts w:ascii="David" w:hAnsi="David" w:cs="David"/>
          <w:sz w:val="24"/>
          <w:szCs w:val="24"/>
          <w:rtl/>
        </w:rPr>
        <w:t xml:space="preserve">האמירה לפיה דמם של 45 נספי אסון מירון "מרוח" על ידיו של התובע, מקשרת ישירות בין </w:t>
      </w:r>
      <w:r w:rsidR="00F457AC">
        <w:rPr>
          <w:rFonts w:ascii="David" w:hAnsi="David" w:cs="David" w:hint="cs"/>
          <w:sz w:val="24"/>
          <w:szCs w:val="24"/>
          <w:rtl/>
        </w:rPr>
        <w:t>האסון ו</w:t>
      </w:r>
      <w:r>
        <w:rPr>
          <w:rFonts w:ascii="David" w:hAnsi="David" w:cs="David"/>
          <w:sz w:val="24"/>
          <w:szCs w:val="24"/>
          <w:rtl/>
        </w:rPr>
        <w:t xml:space="preserve">המוות לבין הגורם המחולל כביכול. ובמילים פשוטות – מקשרת בין </w:t>
      </w:r>
      <w:r w:rsidR="00F457AC">
        <w:rPr>
          <w:rFonts w:ascii="David" w:hAnsi="David" w:cs="David" w:hint="cs"/>
          <w:sz w:val="24"/>
          <w:szCs w:val="24"/>
          <w:rtl/>
        </w:rPr>
        <w:t>האסון ו</w:t>
      </w:r>
      <w:r w:rsidR="00F457AC">
        <w:rPr>
          <w:rFonts w:ascii="David" w:hAnsi="David" w:cs="David"/>
          <w:sz w:val="24"/>
          <w:szCs w:val="24"/>
          <w:rtl/>
        </w:rPr>
        <w:t>המוות לבין אשמה נטענת של התובע</w:t>
      </w:r>
      <w:r w:rsidR="00F457AC">
        <w:rPr>
          <w:rFonts w:ascii="David" w:hAnsi="David" w:cs="David" w:hint="cs"/>
          <w:sz w:val="24"/>
          <w:szCs w:val="24"/>
          <w:rtl/>
        </w:rPr>
        <w:t>,</w:t>
      </w:r>
      <w:r>
        <w:rPr>
          <w:rFonts w:ascii="David" w:hAnsi="David" w:cs="David"/>
          <w:sz w:val="24"/>
          <w:szCs w:val="24"/>
          <w:rtl/>
        </w:rPr>
        <w:t xml:space="preserve"> קישור אשר לא מן הנמנע מביא את קוראי המאמר לייחס לתובע אחריות פלילית למותם של עשרות נספי האסון. </w:t>
      </w:r>
      <w:r>
        <w:rPr>
          <w:rFonts w:ascii="David" w:hAnsi="David" w:cs="David"/>
          <w:sz w:val="24"/>
          <w:szCs w:val="24"/>
          <w:u w:val="single"/>
          <w:rtl/>
        </w:rPr>
        <w:t>אין</w:t>
      </w:r>
      <w:r>
        <w:rPr>
          <w:rFonts w:ascii="David" w:hAnsi="David" w:cs="David"/>
          <w:sz w:val="24"/>
          <w:szCs w:val="24"/>
          <w:rtl/>
        </w:rPr>
        <w:t xml:space="preserve"> מדובר באמירה כללית בדבר אחריות גורפת להתנהלות כזו או אחרת, אלא אמירה ספציפית המתייחסת ישירות לעשרות נספים ששמותיהם ידועים ו</w:t>
      </w:r>
      <w:r w:rsidR="000738A9">
        <w:rPr>
          <w:rFonts w:ascii="David" w:hAnsi="David" w:cs="David" w:hint="cs"/>
          <w:sz w:val="24"/>
          <w:szCs w:val="24"/>
          <w:rtl/>
        </w:rPr>
        <w:t xml:space="preserve">אף פורסמו החל מיום </w:t>
      </w:r>
      <w:r>
        <w:rPr>
          <w:rFonts w:ascii="David" w:hAnsi="David" w:cs="David"/>
          <w:sz w:val="24"/>
          <w:szCs w:val="24"/>
          <w:rtl/>
        </w:rPr>
        <w:t xml:space="preserve">למחרת האסון. על כך שהאמירה היא קישור ספציפי וממוקד לשמות אנשים שנספו ולאירוע אסון ייחודי, </w:t>
      </w:r>
      <w:r>
        <w:rPr>
          <w:rFonts w:ascii="David" w:hAnsi="David" w:cs="David"/>
          <w:b/>
          <w:bCs/>
          <w:sz w:val="24"/>
          <w:szCs w:val="24"/>
          <w:rtl/>
        </w:rPr>
        <w:t>אסון שהוא אירוע ספציפי וקונקרטי</w:t>
      </w:r>
      <w:r>
        <w:rPr>
          <w:rFonts w:ascii="David" w:hAnsi="David" w:cs="David"/>
          <w:sz w:val="24"/>
          <w:szCs w:val="24"/>
          <w:rtl/>
        </w:rPr>
        <w:t xml:space="preserve"> – ארחיב גם בסעיף 3.5 להלן.  </w:t>
      </w:r>
    </w:p>
    <w:p w:rsidR="00E0607A" w:rsidRDefault="00E0607A" w:rsidP="00E0607A">
      <w:pPr>
        <w:pStyle w:val="ad"/>
        <w:rPr>
          <w:rFonts w:ascii="David" w:hAnsi="David" w:cs="David"/>
          <w:sz w:val="24"/>
          <w:szCs w:val="24"/>
        </w:rPr>
      </w:pPr>
    </w:p>
    <w:p w:rsidR="00E0607A" w:rsidRPr="000738A9" w:rsidRDefault="000738A9" w:rsidP="000738A9">
      <w:pPr>
        <w:pStyle w:val="ad"/>
        <w:numPr>
          <w:ilvl w:val="0"/>
          <w:numId w:val="14"/>
        </w:numPr>
        <w:spacing w:line="360" w:lineRule="auto"/>
        <w:jc w:val="both"/>
        <w:rPr>
          <w:rFonts w:ascii="Calibri" w:hAnsi="Calibri" w:cs="Calibri"/>
          <w:color w:val="000000"/>
          <w:sz w:val="24"/>
          <w:szCs w:val="24"/>
          <w:rtl/>
        </w:rPr>
      </w:pPr>
      <w:r w:rsidRPr="000738A9">
        <w:rPr>
          <w:rFonts w:ascii="David" w:hAnsi="David" w:cs="David" w:hint="cs"/>
          <w:sz w:val="24"/>
          <w:szCs w:val="24"/>
          <w:rtl/>
        </w:rPr>
        <w:t xml:space="preserve">הפרסום עצמו הוא בגדר הוצאת לשון הרע. </w:t>
      </w:r>
      <w:r w:rsidR="00E0607A" w:rsidRPr="000738A9">
        <w:rPr>
          <w:rFonts w:ascii="David" w:hAnsi="David" w:cs="David"/>
          <w:sz w:val="24"/>
          <w:szCs w:val="24"/>
          <w:rtl/>
        </w:rPr>
        <w:t xml:space="preserve">ייחוס עבירה פלילית לאדם הוא כשלעצמו אמירה מכפישה. ייחוס עבירה פלילית שנעשה שלא כדין הוא גם בגדר הוצאת לשון הרע. לענין זה ניתן לפנות כבר אל ע"א 788/79, </w:t>
      </w:r>
      <w:r w:rsidR="00E0607A" w:rsidRPr="000738A9">
        <w:rPr>
          <w:rFonts w:ascii="David" w:hAnsi="David" w:cs="David"/>
          <w:sz w:val="24"/>
          <w:szCs w:val="24"/>
          <w:u w:val="single"/>
          <w:rtl/>
        </w:rPr>
        <w:t>ריימר נגד עזבון רייבר</w:t>
      </w:r>
      <w:r w:rsidR="00E0607A" w:rsidRPr="000738A9">
        <w:rPr>
          <w:rFonts w:ascii="David" w:hAnsi="David" w:cs="David"/>
          <w:sz w:val="24"/>
          <w:szCs w:val="24"/>
          <w:rtl/>
        </w:rPr>
        <w:t xml:space="preserve">, פ"ד לו (2) 141, שם נקבע כי </w:t>
      </w:r>
      <w:r w:rsidR="00E0607A" w:rsidRPr="000738A9">
        <w:rPr>
          <w:rFonts w:ascii="David" w:hAnsi="David" w:cs="David"/>
          <w:b/>
          <w:bCs/>
          <w:color w:val="000000"/>
          <w:sz w:val="24"/>
          <w:szCs w:val="24"/>
          <w:rtl/>
        </w:rPr>
        <w:t>"כאשר מייחסים לפלוני ביצועו של מעשה גניבה ומוסרים חשד זה לאחר, אכן יש בכך משום פרסום לשון הרע כמשמעותו לפי סעיפים 1 ו-2 ל</w:t>
      </w:r>
      <w:r w:rsidR="00E0607A" w:rsidRPr="000738A9">
        <w:rPr>
          <w:rFonts w:ascii="David" w:hAnsi="David" w:cs="David"/>
          <w:b/>
          <w:bCs/>
          <w:sz w:val="24"/>
          <w:szCs w:val="24"/>
          <w:rtl/>
        </w:rPr>
        <w:t>חוק איסור לשון הרע"</w:t>
      </w:r>
      <w:r w:rsidR="00E0607A" w:rsidRPr="000738A9">
        <w:rPr>
          <w:rFonts w:ascii="David" w:hAnsi="David" w:cs="David"/>
          <w:sz w:val="24"/>
          <w:szCs w:val="24"/>
          <w:rtl/>
        </w:rPr>
        <w:t xml:space="preserve">. להרחבה ר' גם ע"א 3546/10, </w:t>
      </w:r>
      <w:r w:rsidR="00E0607A" w:rsidRPr="000738A9">
        <w:rPr>
          <w:rFonts w:ascii="David" w:hAnsi="David" w:cs="David"/>
          <w:color w:val="000000"/>
          <w:sz w:val="24"/>
          <w:szCs w:val="24"/>
          <w:u w:val="single"/>
          <w:rtl/>
        </w:rPr>
        <w:t xml:space="preserve">אליהו </w:t>
      </w:r>
      <w:r w:rsidR="00E0607A" w:rsidRPr="000738A9">
        <w:rPr>
          <w:rFonts w:ascii="David" w:hAnsi="David" w:cs="David"/>
          <w:color w:val="000000"/>
          <w:sz w:val="24"/>
          <w:szCs w:val="24"/>
          <w:u w:val="single"/>
          <w:rtl/>
        </w:rPr>
        <w:lastRenderedPageBreak/>
        <w:t>מישאלי נ' אולגה קליין</w:t>
      </w:r>
      <w:r w:rsidR="00E0607A" w:rsidRPr="000738A9">
        <w:rPr>
          <w:rFonts w:ascii="David" w:hAnsi="David" w:cs="David"/>
          <w:color w:val="000000"/>
          <w:sz w:val="24"/>
          <w:szCs w:val="24"/>
          <w:rtl/>
        </w:rPr>
        <w:t xml:space="preserve"> (מיום 18/4/2012, המש' לנ' א' ריבלין, הש' ע' פוגלמן, הש' י' עמית); עוד ר' תא (מחוזי תל אביב) 46842-04-13, </w:t>
      </w:r>
      <w:r w:rsidR="00E0607A" w:rsidRPr="000738A9">
        <w:rPr>
          <w:rFonts w:ascii="David" w:hAnsi="David" w:cs="David"/>
          <w:color w:val="000000"/>
          <w:sz w:val="24"/>
          <w:szCs w:val="24"/>
          <w:u w:val="single"/>
          <w:rtl/>
        </w:rPr>
        <w:t>אריה את עופר עבודות בניה נ' בנק מזרחי טפחות בע"מ</w:t>
      </w:r>
      <w:r w:rsidR="00E0607A" w:rsidRPr="000738A9">
        <w:rPr>
          <w:rFonts w:ascii="David" w:hAnsi="David" w:cs="David"/>
          <w:color w:val="000000"/>
          <w:sz w:val="24"/>
          <w:szCs w:val="24"/>
          <w:rtl/>
        </w:rPr>
        <w:t> (מיום 22/12/2022, הש' ד' חסדאי).</w:t>
      </w:r>
      <w:r w:rsidR="00E0607A" w:rsidRPr="000738A9">
        <w:rPr>
          <w:rFonts w:ascii="Calibri" w:hAnsi="Calibri" w:cs="Calibri" w:hint="cs"/>
          <w:color w:val="000000"/>
          <w:sz w:val="24"/>
          <w:szCs w:val="24"/>
          <w:rtl/>
        </w:rPr>
        <w:t xml:space="preserve"> </w:t>
      </w:r>
    </w:p>
    <w:p w:rsidR="00E0607A" w:rsidRDefault="00E0607A" w:rsidP="00E0607A">
      <w:pPr>
        <w:pStyle w:val="ad"/>
        <w:spacing w:after="0" w:line="330" w:lineRule="atLeast"/>
        <w:ind w:left="1080"/>
        <w:jc w:val="both"/>
        <w:rPr>
          <w:rFonts w:ascii="Calibri" w:hAnsi="Calibri" w:cs="Calibri"/>
          <w:color w:val="000000"/>
          <w:rtl/>
        </w:rPr>
      </w:pPr>
    </w:p>
    <w:p w:rsidR="00E0607A" w:rsidRPr="000738A9" w:rsidRDefault="00E0607A" w:rsidP="004B78B1">
      <w:pPr>
        <w:pStyle w:val="ad"/>
        <w:spacing w:line="360" w:lineRule="auto"/>
        <w:ind w:left="755"/>
        <w:jc w:val="both"/>
        <w:rPr>
          <w:rFonts w:ascii="David" w:hAnsi="David" w:cs="David"/>
          <w:color w:val="000000"/>
          <w:sz w:val="24"/>
          <w:szCs w:val="24"/>
          <w:rtl/>
        </w:rPr>
      </w:pPr>
      <w:r w:rsidRPr="000738A9">
        <w:rPr>
          <w:rFonts w:ascii="David" w:hAnsi="David" w:cs="David"/>
          <w:color w:val="000000"/>
          <w:sz w:val="24"/>
          <w:szCs w:val="24"/>
          <w:rtl/>
        </w:rPr>
        <w:t xml:space="preserve">בנוסף </w:t>
      </w:r>
      <w:r w:rsidR="004B78B1" w:rsidRPr="000738A9">
        <w:rPr>
          <w:rFonts w:ascii="David" w:hAnsi="David" w:cs="David" w:hint="cs"/>
          <w:color w:val="000000"/>
          <w:sz w:val="24"/>
          <w:szCs w:val="24"/>
          <w:rtl/>
        </w:rPr>
        <w:t xml:space="preserve">ייאמר </w:t>
      </w:r>
      <w:r w:rsidRPr="000738A9">
        <w:rPr>
          <w:rFonts w:ascii="David" w:hAnsi="David" w:cs="David"/>
          <w:color w:val="000000"/>
          <w:sz w:val="24"/>
          <w:szCs w:val="24"/>
          <w:rtl/>
        </w:rPr>
        <w:t xml:space="preserve">שגם אמירות המייחסות אופי מעין פלילי בלבד, ייחשבו כאמירות מכפישות וכלשון הרע, ולענין זה ר' ע"א 8398/17, </w:t>
      </w:r>
      <w:r w:rsidRPr="000738A9">
        <w:rPr>
          <w:rFonts w:ascii="David" w:hAnsi="David" w:cs="David"/>
          <w:color w:val="000000"/>
          <w:sz w:val="24"/>
          <w:szCs w:val="24"/>
          <w:u w:val="single"/>
          <w:rtl/>
        </w:rPr>
        <w:t>תאופילוס ג'אנופולוס, פטריארך הכנסייה היוונית אורתודוכסית של ירושלים נ' ‏</w:t>
      </w:r>
      <w:r w:rsidRPr="000738A9">
        <w:rPr>
          <w:rFonts w:ascii="David" w:hAnsi="David" w:cs="David"/>
          <w:color w:val="000000"/>
          <w:sz w:val="24"/>
          <w:szCs w:val="24"/>
          <w:u w:val="single"/>
        </w:rPr>
        <w:t>Berisford </w:t>
      </w:r>
      <w:r w:rsidRPr="000738A9">
        <w:rPr>
          <w:rFonts w:ascii="David" w:hAnsi="David" w:cs="David" w:hint="cs"/>
          <w:color w:val="000000"/>
          <w:sz w:val="24"/>
          <w:szCs w:val="24"/>
          <w:u w:val="single"/>
          <w:cs/>
        </w:rPr>
        <w:t>‎</w:t>
      </w:r>
      <w:r w:rsidRPr="000738A9">
        <w:rPr>
          <w:rFonts w:ascii="David" w:hAnsi="David" w:cs="David"/>
          <w:color w:val="000000"/>
          <w:sz w:val="24"/>
          <w:szCs w:val="24"/>
          <w:u w:val="single"/>
        </w:rPr>
        <w:t>Investments Limited</w:t>
      </w:r>
      <w:r w:rsidR="00795ADF">
        <w:rPr>
          <w:rFonts w:ascii="David" w:hAnsi="David" w:cs="David"/>
          <w:color w:val="000000"/>
          <w:sz w:val="24"/>
          <w:szCs w:val="24"/>
          <w:rtl/>
        </w:rPr>
        <w:t xml:space="preserve"> (מיום 10/6/2019, הש' י' עמית, </w:t>
      </w:r>
      <w:r w:rsidR="00795ADF">
        <w:rPr>
          <w:rFonts w:ascii="David" w:hAnsi="David" w:cs="David" w:hint="cs"/>
          <w:color w:val="000000"/>
          <w:sz w:val="24"/>
          <w:szCs w:val="24"/>
          <w:rtl/>
        </w:rPr>
        <w:t>י</w:t>
      </w:r>
      <w:r w:rsidRPr="000738A9">
        <w:rPr>
          <w:rFonts w:ascii="David" w:hAnsi="David" w:cs="David"/>
          <w:color w:val="000000"/>
          <w:sz w:val="24"/>
          <w:szCs w:val="24"/>
          <w:rtl/>
        </w:rPr>
        <w:t>' וילנר, א' שטיין) שם נקבע  (ההדגשות לא במקור) – </w:t>
      </w:r>
      <w:r w:rsidRPr="000738A9">
        <w:rPr>
          <w:rFonts w:ascii="David" w:hAnsi="David" w:cs="David"/>
          <w:b/>
          <w:bCs/>
          <w:color w:val="000000"/>
          <w:sz w:val="24"/>
          <w:szCs w:val="24"/>
          <w:rtl/>
        </w:rPr>
        <w:t>"טענות בעלות </w:t>
      </w:r>
      <w:r w:rsidRPr="000738A9">
        <w:rPr>
          <w:rFonts w:ascii="David" w:hAnsi="David" w:cs="David"/>
          <w:b/>
          <w:bCs/>
          <w:color w:val="000000"/>
          <w:sz w:val="24"/>
          <w:szCs w:val="24"/>
          <w:u w:val="single"/>
          <w:rtl/>
        </w:rPr>
        <w:t>אופי פלילי ומעין-פלילי</w:t>
      </w:r>
      <w:r w:rsidRPr="000738A9">
        <w:rPr>
          <w:rFonts w:ascii="David" w:hAnsi="David" w:cs="David"/>
          <w:b/>
          <w:bCs/>
          <w:color w:val="000000"/>
          <w:sz w:val="24"/>
          <w:szCs w:val="24"/>
          <w:rtl/>
        </w:rPr>
        <w:t>, כמו טענת תרמית, זיוף או "שוחד אזרחי" כפי שנטען במקרה דנן, </w:t>
      </w:r>
      <w:r w:rsidRPr="000738A9">
        <w:rPr>
          <w:rFonts w:ascii="David" w:hAnsi="David" w:cs="David"/>
          <w:b/>
          <w:bCs/>
          <w:color w:val="000000"/>
          <w:sz w:val="24"/>
          <w:szCs w:val="24"/>
          <w:u w:val="single"/>
          <w:rtl/>
        </w:rPr>
        <w:t>מצריכות כמות ראיות ורף ראיות גבוה יותר התואמים במשקלם לרצינותה ולחומרתה של הטענה הנטענת</w:t>
      </w:r>
      <w:r w:rsidRPr="000738A9">
        <w:rPr>
          <w:rFonts w:ascii="David" w:hAnsi="David" w:cs="David"/>
          <w:b/>
          <w:bCs/>
          <w:color w:val="000000"/>
          <w:sz w:val="24"/>
          <w:szCs w:val="24"/>
          <w:rtl/>
        </w:rPr>
        <w:t>, ועל בית המשפט לבחון את הראיות </w:t>
      </w:r>
      <w:r w:rsidR="004B78B1" w:rsidRPr="000738A9">
        <w:rPr>
          <w:rFonts w:ascii="David" w:hAnsi="David" w:cs="David"/>
          <w:b/>
          <w:bCs/>
          <w:color w:val="000000"/>
          <w:sz w:val="24"/>
          <w:szCs w:val="24"/>
          <w:u w:val="single"/>
          <w:rtl/>
        </w:rPr>
        <w:t xml:space="preserve">בזהירות </w:t>
      </w:r>
      <w:r w:rsidR="004B78B1" w:rsidRPr="000738A9">
        <w:rPr>
          <w:rFonts w:ascii="David" w:hAnsi="David" w:cs="David" w:hint="cs"/>
          <w:b/>
          <w:bCs/>
          <w:color w:val="000000"/>
          <w:sz w:val="24"/>
          <w:szCs w:val="24"/>
          <w:u w:val="single"/>
          <w:rtl/>
        </w:rPr>
        <w:t>ו</w:t>
      </w:r>
      <w:r w:rsidRPr="000738A9">
        <w:rPr>
          <w:rFonts w:ascii="David" w:hAnsi="David" w:cs="David"/>
          <w:b/>
          <w:bCs/>
          <w:color w:val="000000"/>
          <w:sz w:val="24"/>
          <w:szCs w:val="24"/>
          <w:u w:val="single"/>
          <w:rtl/>
        </w:rPr>
        <w:t>בקפדנות</w:t>
      </w:r>
      <w:r w:rsidRPr="000738A9">
        <w:rPr>
          <w:rFonts w:ascii="David" w:hAnsi="David" w:cs="David"/>
          <w:b/>
          <w:bCs/>
          <w:color w:val="000000"/>
          <w:sz w:val="24"/>
          <w:szCs w:val="24"/>
          <w:rtl/>
        </w:rPr>
        <w:t>"</w:t>
      </w:r>
      <w:r w:rsidRPr="000738A9">
        <w:rPr>
          <w:rFonts w:ascii="David" w:hAnsi="David" w:cs="David"/>
          <w:color w:val="000000"/>
          <w:sz w:val="24"/>
          <w:szCs w:val="24"/>
          <w:rtl/>
        </w:rPr>
        <w:t>.</w:t>
      </w:r>
    </w:p>
    <w:p w:rsidR="00E0607A" w:rsidRDefault="00E0607A" w:rsidP="00E0607A">
      <w:pPr>
        <w:pStyle w:val="ad"/>
        <w:spacing w:line="360" w:lineRule="auto"/>
        <w:ind w:left="755"/>
        <w:jc w:val="both"/>
        <w:rPr>
          <w:rFonts w:ascii="David" w:hAnsi="David" w:cs="David"/>
          <w:color w:val="000000"/>
          <w:rtl/>
        </w:rPr>
      </w:pPr>
    </w:p>
    <w:p w:rsidR="00E0607A" w:rsidRDefault="00E0607A" w:rsidP="006A1BE2">
      <w:pPr>
        <w:pStyle w:val="ad"/>
        <w:spacing w:line="360" w:lineRule="auto"/>
        <w:ind w:left="-172"/>
        <w:jc w:val="both"/>
        <w:rPr>
          <w:rFonts w:ascii="David" w:hAnsi="David" w:cs="David"/>
          <w:b/>
          <w:bCs/>
          <w:sz w:val="24"/>
          <w:szCs w:val="24"/>
          <w:rtl/>
        </w:rPr>
      </w:pPr>
      <w:r>
        <w:rPr>
          <w:rFonts w:ascii="David" w:hAnsi="David" w:cs="David"/>
          <w:b/>
          <w:bCs/>
          <w:sz w:val="24"/>
          <w:szCs w:val="24"/>
          <w:rtl/>
        </w:rPr>
        <w:t>הערת מעבר – עד כה התייחס</w:t>
      </w:r>
      <w:r w:rsidR="006A60F8">
        <w:rPr>
          <w:rFonts w:ascii="David" w:hAnsi="David" w:cs="David" w:hint="cs"/>
          <w:b/>
          <w:bCs/>
          <w:sz w:val="24"/>
          <w:szCs w:val="24"/>
          <w:rtl/>
        </w:rPr>
        <w:t xml:space="preserve"> פסק הדין</w:t>
      </w:r>
      <w:r>
        <w:rPr>
          <w:rFonts w:ascii="David" w:hAnsi="David" w:cs="David"/>
          <w:b/>
          <w:bCs/>
          <w:sz w:val="24"/>
          <w:szCs w:val="24"/>
          <w:rtl/>
        </w:rPr>
        <w:t xml:space="preserve"> לכך שהאמירה "דמם של 45 נספי אסון מירון מרוח על ידיו" היא בגדר הוצאת לשון הרע. בפסקאות הבאות אתייחס כאמור לכך שאין לנתבע הגנה מכח החוק.</w:t>
      </w:r>
    </w:p>
    <w:p w:rsidR="00E0607A" w:rsidRDefault="00E0607A" w:rsidP="00E0607A">
      <w:pPr>
        <w:pStyle w:val="ad"/>
        <w:spacing w:line="360" w:lineRule="auto"/>
        <w:ind w:left="755"/>
        <w:jc w:val="both"/>
        <w:rPr>
          <w:rFonts w:ascii="David" w:hAnsi="David" w:cs="David"/>
          <w:sz w:val="24"/>
          <w:szCs w:val="24"/>
          <w:rtl/>
        </w:rPr>
      </w:pPr>
    </w:p>
    <w:p w:rsidR="00E0607A" w:rsidRDefault="00A75828" w:rsidP="00E0607A">
      <w:pPr>
        <w:pStyle w:val="ad"/>
        <w:numPr>
          <w:ilvl w:val="1"/>
          <w:numId w:val="1"/>
        </w:numPr>
        <w:spacing w:line="360" w:lineRule="auto"/>
        <w:ind w:left="395" w:hanging="567"/>
        <w:jc w:val="both"/>
        <w:rPr>
          <w:rFonts w:ascii="David" w:hAnsi="David" w:cs="David"/>
          <w:sz w:val="24"/>
          <w:szCs w:val="24"/>
        </w:rPr>
      </w:pPr>
      <w:r>
        <w:rPr>
          <w:rFonts w:ascii="David" w:hAnsi="David" w:cs="David" w:hint="cs"/>
          <w:b/>
          <w:bCs/>
          <w:sz w:val="24"/>
          <w:szCs w:val="24"/>
          <w:u w:val="single"/>
          <w:rtl/>
        </w:rPr>
        <w:t xml:space="preserve">הטענה להגנת "הבעת דעה" - </w:t>
      </w:r>
      <w:r w:rsidR="00E0607A">
        <w:rPr>
          <w:rFonts w:ascii="David" w:hAnsi="David" w:cs="David"/>
          <w:b/>
          <w:bCs/>
          <w:sz w:val="24"/>
          <w:szCs w:val="24"/>
          <w:u w:val="single"/>
          <w:rtl/>
        </w:rPr>
        <w:t>לנתבע לא קמה הגנת "הבעת דעה" ביחס לאמירה המכפישה בדבר דם נספי אסון מירון המרוח על ידי התובע</w:t>
      </w:r>
    </w:p>
    <w:p w:rsidR="00E0607A" w:rsidRDefault="00E0607A" w:rsidP="00E0607A">
      <w:pPr>
        <w:pStyle w:val="ad"/>
        <w:numPr>
          <w:ilvl w:val="0"/>
          <w:numId w:val="15"/>
        </w:numPr>
        <w:shd w:val="clear" w:color="auto" w:fill="FFFFFF"/>
        <w:spacing w:before="150" w:after="0" w:line="360" w:lineRule="auto"/>
        <w:jc w:val="both"/>
        <w:rPr>
          <w:rFonts w:ascii="Arial" w:hAnsi="Arial" w:cs="Arial"/>
          <w:color w:val="000000"/>
          <w:sz w:val="21"/>
          <w:szCs w:val="21"/>
        </w:rPr>
      </w:pPr>
      <w:r>
        <w:rPr>
          <w:rFonts w:ascii="David" w:hAnsi="David" w:cs="David"/>
          <w:sz w:val="24"/>
          <w:szCs w:val="24"/>
          <w:rtl/>
        </w:rPr>
        <w:t>הנתבע הוא עיתונאי בעל שם, פובליציסט אשר גם במסגרת הדיון בבית המשפט ניתן היה לראות את ההערכה למקצוע שרוחש לו גם התובע. כעיתונאי וכבעל טור דעה טען הנתבע להגנה מכח סעיף 15(4) לחוק איסור לשון הרע, הקובע כך:</w:t>
      </w:r>
    </w:p>
    <w:p w:rsidR="00E0607A" w:rsidRPr="008920A3" w:rsidRDefault="00E0607A" w:rsidP="00E0607A">
      <w:pPr>
        <w:pStyle w:val="ad"/>
        <w:shd w:val="clear" w:color="auto" w:fill="FFFFFF"/>
        <w:spacing w:before="150" w:after="0" w:line="360" w:lineRule="auto"/>
        <w:ind w:left="755"/>
        <w:jc w:val="both"/>
        <w:rPr>
          <w:rFonts w:ascii="David" w:hAnsi="David" w:cs="David"/>
          <w:b/>
          <w:bCs/>
          <w:color w:val="000000"/>
          <w:sz w:val="24"/>
          <w:szCs w:val="24"/>
        </w:rPr>
      </w:pPr>
    </w:p>
    <w:p w:rsidR="00E0607A" w:rsidRPr="008920A3" w:rsidRDefault="00E0607A" w:rsidP="00E0607A">
      <w:pPr>
        <w:pStyle w:val="ad"/>
        <w:shd w:val="clear" w:color="auto" w:fill="FFFFFF"/>
        <w:spacing w:before="150" w:after="0" w:line="360" w:lineRule="auto"/>
        <w:ind w:left="1440"/>
        <w:jc w:val="both"/>
        <w:rPr>
          <w:rFonts w:ascii="David" w:hAnsi="David" w:cs="David"/>
          <w:b/>
          <w:bCs/>
          <w:color w:val="000000"/>
          <w:sz w:val="24"/>
          <w:szCs w:val="24"/>
        </w:rPr>
      </w:pPr>
      <w:r w:rsidRPr="008920A3">
        <w:rPr>
          <w:rFonts w:ascii="David" w:hAnsi="David" w:cs="David"/>
          <w:b/>
          <w:bCs/>
          <w:sz w:val="24"/>
          <w:szCs w:val="24"/>
          <w:rtl/>
        </w:rPr>
        <w:t>"במשפט פלילי או אזרחי בשל לשון הרע תהא זאת הגנה טובה אם הנאשם או הנתבע עשה את הפרסום בתום לב באחת הנסיבות האלו</w:t>
      </w:r>
      <w:r w:rsidRPr="008920A3">
        <w:rPr>
          <w:rFonts w:ascii="David" w:hAnsi="David" w:cs="David"/>
          <w:b/>
          <w:bCs/>
          <w:color w:val="000000"/>
          <w:sz w:val="24"/>
          <w:szCs w:val="24"/>
        </w:rPr>
        <w:t>:</w:t>
      </w:r>
    </w:p>
    <w:p w:rsidR="00E0607A" w:rsidRPr="008920A3" w:rsidRDefault="00E0607A" w:rsidP="00E0607A">
      <w:pPr>
        <w:pStyle w:val="ad"/>
        <w:shd w:val="clear" w:color="auto" w:fill="FFFFFF"/>
        <w:spacing w:before="150" w:after="0" w:line="360" w:lineRule="auto"/>
        <w:ind w:left="1440"/>
        <w:jc w:val="both"/>
        <w:rPr>
          <w:rFonts w:ascii="David" w:hAnsi="David" w:cs="David"/>
          <w:b/>
          <w:bCs/>
          <w:color w:val="000000"/>
          <w:sz w:val="24"/>
          <w:szCs w:val="24"/>
          <w:rtl/>
        </w:rPr>
      </w:pPr>
      <w:r w:rsidRPr="008920A3">
        <w:rPr>
          <w:rFonts w:ascii="David" w:hAnsi="David" w:cs="David"/>
          <w:b/>
          <w:bCs/>
          <w:color w:val="000000"/>
          <w:sz w:val="24"/>
          <w:szCs w:val="24"/>
          <w:rtl/>
        </w:rPr>
        <w:t>...</w:t>
      </w:r>
    </w:p>
    <w:p w:rsidR="00E0607A" w:rsidRPr="008920A3" w:rsidRDefault="00E0607A" w:rsidP="00E0607A">
      <w:pPr>
        <w:pStyle w:val="ad"/>
        <w:shd w:val="clear" w:color="auto" w:fill="FFFFFF"/>
        <w:spacing w:before="150" w:after="0" w:line="360" w:lineRule="auto"/>
        <w:ind w:left="2160" w:hanging="720"/>
        <w:jc w:val="both"/>
        <w:rPr>
          <w:rFonts w:ascii="David" w:hAnsi="David" w:cs="David"/>
          <w:b/>
          <w:bCs/>
          <w:color w:val="000000"/>
          <w:sz w:val="24"/>
          <w:szCs w:val="24"/>
          <w:rtl/>
        </w:rPr>
      </w:pPr>
      <w:r w:rsidRPr="008920A3">
        <w:rPr>
          <w:rFonts w:ascii="David" w:hAnsi="David" w:cs="David"/>
          <w:b/>
          <w:bCs/>
          <w:color w:val="000000"/>
          <w:sz w:val="24"/>
          <w:szCs w:val="24"/>
          <w:rtl/>
        </w:rPr>
        <w:t xml:space="preserve">(4) </w:t>
      </w:r>
      <w:r w:rsidRPr="008920A3">
        <w:rPr>
          <w:rFonts w:ascii="David" w:hAnsi="David" w:cs="David"/>
          <w:b/>
          <w:bCs/>
          <w:color w:val="000000"/>
          <w:sz w:val="24"/>
          <w:szCs w:val="24"/>
          <w:rtl/>
        </w:rPr>
        <w:tab/>
        <w:t>הפרסום היה הבעת דעה על התנהגות הנפגע בתפקיד שיפוטי, רשמי או ציבורי, בשירות ציבורי או בקשר לענין ציבורי, או על אפיו, עברו, מעשיו או דעותיו של הנפגע במידה שהם נתגלו באותה התנהגות"</w:t>
      </w:r>
    </w:p>
    <w:p w:rsidR="00E0607A" w:rsidRDefault="00E0607A" w:rsidP="00E0607A">
      <w:pPr>
        <w:pStyle w:val="ad"/>
        <w:spacing w:line="360" w:lineRule="auto"/>
        <w:ind w:left="395"/>
        <w:jc w:val="both"/>
        <w:rPr>
          <w:rFonts w:ascii="David" w:hAnsi="David" w:cs="David"/>
          <w:sz w:val="24"/>
          <w:szCs w:val="24"/>
          <w:rtl/>
        </w:rPr>
      </w:pPr>
    </w:p>
    <w:p w:rsidR="00E0607A" w:rsidRDefault="00E0607A" w:rsidP="00E0607A">
      <w:pPr>
        <w:pStyle w:val="ad"/>
        <w:spacing w:line="360" w:lineRule="auto"/>
        <w:ind w:hanging="325"/>
        <w:jc w:val="both"/>
        <w:rPr>
          <w:rFonts w:ascii="David" w:hAnsi="David" w:cs="David"/>
          <w:sz w:val="24"/>
          <w:szCs w:val="24"/>
          <w:rtl/>
        </w:rPr>
      </w:pPr>
      <w:r>
        <w:rPr>
          <w:rFonts w:ascii="David" w:hAnsi="David" w:cs="David"/>
          <w:sz w:val="24"/>
          <w:szCs w:val="24"/>
          <w:rtl/>
        </w:rPr>
        <w:tab/>
        <w:t>מכאן, טען התובע לכך שהאמירה שפורסמה היא בגדד הבעת דעה ומכאן היא מוגנת מכח החוק. במלוא הכבוד, אין לקבל טענה זו והנימוקים לכך יובאו בפסקאות הבאות.</w:t>
      </w:r>
    </w:p>
    <w:p w:rsidR="00E0607A" w:rsidRDefault="00E0607A" w:rsidP="00E0607A">
      <w:pPr>
        <w:pStyle w:val="ad"/>
        <w:spacing w:line="360" w:lineRule="auto"/>
        <w:ind w:left="395"/>
        <w:jc w:val="both"/>
        <w:rPr>
          <w:rFonts w:ascii="David" w:hAnsi="David" w:cs="David"/>
          <w:sz w:val="24"/>
          <w:szCs w:val="24"/>
          <w:rtl/>
        </w:rPr>
      </w:pPr>
    </w:p>
    <w:p w:rsidR="00E0607A" w:rsidRDefault="00E0607A" w:rsidP="00E0607A">
      <w:pPr>
        <w:pStyle w:val="ad"/>
        <w:numPr>
          <w:ilvl w:val="0"/>
          <w:numId w:val="15"/>
        </w:numPr>
        <w:shd w:val="clear" w:color="auto" w:fill="FFFFFF"/>
        <w:spacing w:before="150" w:after="0" w:line="360" w:lineRule="auto"/>
        <w:jc w:val="both"/>
        <w:rPr>
          <w:rFonts w:ascii="David" w:hAnsi="David" w:cs="David"/>
          <w:sz w:val="24"/>
          <w:szCs w:val="24"/>
          <w:rtl/>
        </w:rPr>
      </w:pPr>
      <w:r>
        <w:rPr>
          <w:rFonts w:ascii="David" w:hAnsi="David" w:cs="David"/>
          <w:sz w:val="24"/>
          <w:szCs w:val="24"/>
          <w:rtl/>
        </w:rPr>
        <w:t xml:space="preserve">הטענה לפיה אמירה מסוימת מוגנת בשל היותה "הבעת דעה" צריכה להיבחן היטב תוך התייחסות לשאלה האם אכן מדובר באמירה כללית ומותרת המגלה את </w:t>
      </w:r>
      <w:r>
        <w:rPr>
          <w:rFonts w:ascii="David" w:hAnsi="David" w:cs="David"/>
          <w:sz w:val="24"/>
          <w:szCs w:val="24"/>
          <w:u w:val="single"/>
          <w:rtl/>
        </w:rPr>
        <w:t>דעתו</w:t>
      </w:r>
      <w:r>
        <w:rPr>
          <w:rFonts w:ascii="David" w:hAnsi="David" w:cs="David"/>
          <w:sz w:val="24"/>
          <w:szCs w:val="24"/>
          <w:rtl/>
        </w:rPr>
        <w:t xml:space="preserve"> של המפרסם, או שמא מדובר באמירה עובדתית המתייחסת ישירות לבעל הדין הנפגע. האם מדובר בפרשנות של המפרסם, או במסירת ידיעה אינפורמטיבית המוגדרת בדיעבד כפרשנות וכהבעת דעה. </w:t>
      </w:r>
    </w:p>
    <w:p w:rsidR="00E0607A" w:rsidRDefault="00E0607A" w:rsidP="00E0607A">
      <w:pPr>
        <w:pStyle w:val="ad"/>
        <w:shd w:val="clear" w:color="auto" w:fill="FFFFFF"/>
        <w:spacing w:before="150" w:after="0" w:line="360" w:lineRule="auto"/>
        <w:ind w:left="755"/>
        <w:jc w:val="both"/>
        <w:rPr>
          <w:rFonts w:ascii="David" w:hAnsi="David" w:cs="David"/>
          <w:sz w:val="24"/>
          <w:szCs w:val="24"/>
        </w:rPr>
      </w:pPr>
    </w:p>
    <w:p w:rsidR="00E0607A" w:rsidRDefault="00E0607A" w:rsidP="004B78B1">
      <w:pPr>
        <w:pStyle w:val="ad"/>
        <w:shd w:val="clear" w:color="auto" w:fill="FFFFFF"/>
        <w:spacing w:before="150" w:after="0" w:line="360" w:lineRule="auto"/>
        <w:ind w:left="755"/>
        <w:jc w:val="both"/>
        <w:rPr>
          <w:rFonts w:ascii="David" w:hAnsi="David" w:cs="David"/>
          <w:sz w:val="24"/>
          <w:szCs w:val="24"/>
        </w:rPr>
      </w:pPr>
      <w:r>
        <w:rPr>
          <w:rFonts w:ascii="David" w:hAnsi="David" w:cs="David"/>
          <w:sz w:val="24"/>
          <w:szCs w:val="24"/>
          <w:rtl/>
        </w:rPr>
        <w:lastRenderedPageBreak/>
        <w:t xml:space="preserve">ההבחנה בין אמירה שהיא בגדר "הבעת דעה" לבין אמירה עובדתית ואינפורמטיבית, אינה תמיד חד ערכית. לעיתים קיימות אמירות מעורבות המשלבות גם התייחסות עובדתית וגם התייחסות שהיא בגדר "הבעת דעה". כך למשל, </w:t>
      </w:r>
      <w:r w:rsidRPr="004B78B1">
        <w:rPr>
          <w:rFonts w:ascii="David" w:hAnsi="David" w:cs="David"/>
          <w:sz w:val="24"/>
          <w:szCs w:val="24"/>
          <w:u w:val="single"/>
          <w:rtl/>
        </w:rPr>
        <w:t>ניטול כדוגמא</w:t>
      </w:r>
      <w:r>
        <w:rPr>
          <w:rFonts w:ascii="David" w:hAnsi="David" w:cs="David"/>
          <w:sz w:val="24"/>
          <w:szCs w:val="24"/>
          <w:rtl/>
        </w:rPr>
        <w:t xml:space="preserve"> פרסום בו נאמר על אדם</w:t>
      </w:r>
      <w:r w:rsidR="004B78B1">
        <w:rPr>
          <w:rFonts w:ascii="David" w:hAnsi="David" w:cs="David" w:hint="cs"/>
          <w:sz w:val="24"/>
          <w:szCs w:val="24"/>
          <w:rtl/>
        </w:rPr>
        <w:t xml:space="preserve"> כלשהו</w:t>
      </w:r>
      <w:r>
        <w:rPr>
          <w:rFonts w:ascii="David" w:hAnsi="David" w:cs="David"/>
          <w:sz w:val="24"/>
          <w:szCs w:val="24"/>
          <w:rtl/>
        </w:rPr>
        <w:t xml:space="preserve"> כי </w:t>
      </w:r>
      <w:r w:rsidRPr="004B78B1">
        <w:rPr>
          <w:rFonts w:ascii="David" w:hAnsi="David" w:cs="David"/>
          <w:sz w:val="24"/>
          <w:szCs w:val="24"/>
          <w:rtl/>
        </w:rPr>
        <w:t>"מעל בכספים ועשה שימוש לצרכיו הפרטיים בכספים שנמסרו לשמירה בידיו הנאמנות,  תוך שהוא בוגד בציבור שנתן בו אימון ומגלה את אופיו"</w:t>
      </w:r>
      <w:r>
        <w:rPr>
          <w:rFonts w:ascii="David" w:hAnsi="David" w:cs="David"/>
          <w:sz w:val="24"/>
          <w:szCs w:val="24"/>
          <w:rtl/>
        </w:rPr>
        <w:t>. אמירה כזו  היא אמירה מעורבת. חלקה הראשון של האמירה הוא עובדתי - האמירה מתחילה בקביעה עובדתית של שימוש פרטי בכספים שנמסרו לשמירה; חלקה השני של האמירה הוא בגדר "הבעת דעה" בדבר אופיו של מושא הפרסום ובדבר בגידתו בציבור שולחיו.</w:t>
      </w:r>
    </w:p>
    <w:p w:rsidR="00E0607A" w:rsidRDefault="00E0607A" w:rsidP="00E0607A">
      <w:pPr>
        <w:pStyle w:val="ad"/>
        <w:shd w:val="clear" w:color="auto" w:fill="FFFFFF"/>
        <w:spacing w:before="150" w:after="0" w:line="360" w:lineRule="auto"/>
        <w:ind w:left="755"/>
        <w:jc w:val="both"/>
        <w:rPr>
          <w:rFonts w:ascii="David" w:hAnsi="David" w:cs="David"/>
          <w:sz w:val="24"/>
          <w:szCs w:val="24"/>
          <w:rtl/>
        </w:rPr>
      </w:pPr>
    </w:p>
    <w:p w:rsidR="00E0607A" w:rsidRDefault="00E0607A" w:rsidP="00E0607A">
      <w:pPr>
        <w:pStyle w:val="ad"/>
        <w:shd w:val="clear" w:color="auto" w:fill="FFFFFF"/>
        <w:spacing w:before="150" w:after="0" w:line="360" w:lineRule="auto"/>
        <w:ind w:left="755"/>
        <w:jc w:val="both"/>
        <w:rPr>
          <w:rFonts w:ascii="Calibri" w:hAnsi="Calibri" w:cs="Calibri"/>
          <w:color w:val="000000"/>
          <w:sz w:val="24"/>
          <w:szCs w:val="24"/>
          <w:rtl/>
        </w:rPr>
      </w:pPr>
      <w:r>
        <w:rPr>
          <w:rFonts w:ascii="David" w:hAnsi="David" w:cs="David"/>
          <w:sz w:val="24"/>
          <w:szCs w:val="24"/>
          <w:rtl/>
        </w:rPr>
        <w:t>אין די ב"הבעת דעה" המבוססת על עובדות, כאשר אותן עובדות הן בגדר הוצאת לשון הרע.</w:t>
      </w:r>
      <w:r>
        <w:rPr>
          <w:rFonts w:ascii="David" w:hAnsi="David" w:cs="David"/>
          <w:color w:val="000000"/>
          <w:sz w:val="24"/>
          <w:szCs w:val="24"/>
          <w:rtl/>
        </w:rPr>
        <w:t xml:space="preserve"> ככל שהפרסום כולל גם עובדות – יש להוכיח את העובדות. כאשר מפרסמים "אמירה מעורבת" הכוללת עובדה וכן הבעת דעה הרי יש להקפיד על </w:t>
      </w:r>
      <w:r>
        <w:rPr>
          <w:rFonts w:ascii="David" w:hAnsi="David" w:cs="David"/>
          <w:b/>
          <w:bCs/>
          <w:color w:val="000000"/>
          <w:sz w:val="24"/>
          <w:szCs w:val="24"/>
          <w:rtl/>
        </w:rPr>
        <w:t>"הפרדה ברורה בין תיאור העובדות ובין הבעת הדעה על אותן עובדות"</w:t>
      </w:r>
      <w:r>
        <w:rPr>
          <w:rFonts w:ascii="David" w:hAnsi="David" w:cs="David"/>
          <w:color w:val="000000"/>
          <w:sz w:val="24"/>
          <w:szCs w:val="24"/>
          <w:rtl/>
        </w:rPr>
        <w:t xml:space="preserve">. ר' לענין זה ספרם של חאלד גנאים, מרדכי קרמניצר, בועז שנור, </w:t>
      </w:r>
      <w:r>
        <w:rPr>
          <w:rFonts w:ascii="David" w:hAnsi="David" w:cs="David"/>
          <w:color w:val="000000"/>
          <w:sz w:val="24"/>
          <w:szCs w:val="24"/>
          <w:u w:val="single"/>
          <w:rtl/>
        </w:rPr>
        <w:t>דיני לשון הרע  הדין המצוי והדין הרצוי</w:t>
      </w:r>
      <w:r>
        <w:rPr>
          <w:rFonts w:ascii="David" w:hAnsi="David" w:cs="David"/>
          <w:color w:val="000000"/>
          <w:sz w:val="24"/>
          <w:szCs w:val="24"/>
          <w:rtl/>
        </w:rPr>
        <w:t xml:space="preserve"> (מהדורה שניה מורחבת התש"ף – 2019, בע"מ 93) וכן ר' כבר במסגרת ד"נ 9/77, </w:t>
      </w:r>
      <w:r>
        <w:rPr>
          <w:rFonts w:ascii="David" w:hAnsi="David" w:cs="David"/>
          <w:color w:val="000000"/>
          <w:sz w:val="24"/>
          <w:szCs w:val="24"/>
          <w:u w:val="single"/>
          <w:rtl/>
        </w:rPr>
        <w:t>חברת החשמל לישראל בע"מ נ' הוצאת עתון "הארץ" בע"מ</w:t>
      </w:r>
      <w:r>
        <w:rPr>
          <w:rFonts w:ascii="David" w:hAnsi="David" w:cs="David"/>
          <w:color w:val="000000"/>
          <w:sz w:val="24"/>
          <w:szCs w:val="24"/>
          <w:rtl/>
        </w:rPr>
        <w:t>, פ''ד לב(3) 337 שם נקבע ההלכה לפיה </w:t>
      </w:r>
      <w:r>
        <w:rPr>
          <w:rFonts w:ascii="David" w:hAnsi="David" w:cs="David"/>
          <w:b/>
          <w:bCs/>
          <w:color w:val="000000"/>
          <w:sz w:val="24"/>
          <w:szCs w:val="24"/>
          <w:rtl/>
        </w:rPr>
        <w:t>"עצם הערבוב בין שני מרכיבים אלה עלול לערפל את הכתוב ולאפשר "הגנבת" עובדות בלתי-נכונות משמיצות אל תוך הבעת הדעה"</w:t>
      </w:r>
      <w:r>
        <w:rPr>
          <w:rFonts w:ascii="David" w:hAnsi="David" w:cs="David"/>
          <w:color w:val="000000"/>
          <w:sz w:val="24"/>
          <w:szCs w:val="24"/>
          <w:rtl/>
        </w:rPr>
        <w:t xml:space="preserve">. </w:t>
      </w:r>
    </w:p>
    <w:p w:rsidR="00E0607A" w:rsidRDefault="00E0607A" w:rsidP="00E0607A">
      <w:pPr>
        <w:pStyle w:val="listparagraph"/>
        <w:spacing w:after="0" w:line="330" w:lineRule="atLeast"/>
        <w:ind w:left="536"/>
        <w:jc w:val="both"/>
        <w:rPr>
          <w:rFonts w:ascii="David" w:hAnsi="David" w:cs="David"/>
          <w:sz w:val="24"/>
          <w:szCs w:val="24"/>
        </w:rPr>
      </w:pPr>
      <w:r>
        <w:rPr>
          <w:rFonts w:ascii="David" w:hAnsi="David" w:cs="David"/>
          <w:color w:val="000000"/>
          <w:rtl/>
        </w:rPr>
        <w:t> </w:t>
      </w:r>
    </w:p>
    <w:p w:rsidR="00E0607A" w:rsidRDefault="00E0607A" w:rsidP="00E0607A">
      <w:pPr>
        <w:pStyle w:val="ad"/>
        <w:numPr>
          <w:ilvl w:val="0"/>
          <w:numId w:val="15"/>
        </w:numPr>
        <w:shd w:val="clear" w:color="auto" w:fill="FFFFFF"/>
        <w:spacing w:before="150" w:after="0" w:line="360" w:lineRule="auto"/>
        <w:jc w:val="both"/>
        <w:rPr>
          <w:rFonts w:ascii="David" w:hAnsi="David" w:cs="David"/>
          <w:sz w:val="24"/>
          <w:szCs w:val="24"/>
        </w:rPr>
      </w:pPr>
      <w:r>
        <w:rPr>
          <w:rFonts w:ascii="David" w:hAnsi="David" w:cs="David"/>
          <w:b/>
          <w:bCs/>
          <w:sz w:val="24"/>
          <w:szCs w:val="24"/>
          <w:u w:val="single"/>
          <w:rtl/>
        </w:rPr>
        <w:t>התייחסות לרע"א 817/23, עמותת חוזה חדש נגד מיקי (מכלוף) זוהר</w:t>
      </w:r>
    </w:p>
    <w:p w:rsidR="00E0607A" w:rsidRDefault="00E0607A" w:rsidP="007811B3">
      <w:pPr>
        <w:pStyle w:val="ad"/>
        <w:numPr>
          <w:ilvl w:val="0"/>
          <w:numId w:val="9"/>
        </w:numPr>
        <w:shd w:val="clear" w:color="auto" w:fill="FFFFFF"/>
        <w:spacing w:before="150" w:after="0" w:line="360" w:lineRule="auto"/>
        <w:jc w:val="both"/>
        <w:rPr>
          <w:rFonts w:ascii="David" w:hAnsi="David" w:cs="David"/>
          <w:sz w:val="24"/>
          <w:szCs w:val="24"/>
        </w:rPr>
      </w:pPr>
      <w:r>
        <w:rPr>
          <w:rFonts w:ascii="David" w:hAnsi="David" w:cs="David"/>
          <w:sz w:val="24"/>
          <w:szCs w:val="24"/>
          <w:rtl/>
        </w:rPr>
        <w:t>הן התובע והן הנתבע התייחסו להתדיינות משפטית שעניינה תביעת לשון הרע שהגיש חבר הכנסת מיקי (מכלוף) זוהר כנגד עמותת חוזה חדש.</w:t>
      </w:r>
    </w:p>
    <w:p w:rsidR="00E0607A" w:rsidRDefault="00E0607A" w:rsidP="00E0607A">
      <w:pPr>
        <w:pStyle w:val="ad"/>
        <w:shd w:val="clear" w:color="auto" w:fill="FFFFFF"/>
        <w:spacing w:before="150" w:after="0" w:line="360" w:lineRule="auto"/>
        <w:ind w:left="1115"/>
        <w:jc w:val="both"/>
        <w:rPr>
          <w:rFonts w:ascii="David" w:hAnsi="David" w:cs="David"/>
          <w:sz w:val="24"/>
          <w:szCs w:val="24"/>
        </w:rPr>
      </w:pPr>
    </w:p>
    <w:p w:rsidR="007811B3" w:rsidRDefault="00E0607A" w:rsidP="007811B3">
      <w:pPr>
        <w:pStyle w:val="ad"/>
        <w:numPr>
          <w:ilvl w:val="0"/>
          <w:numId w:val="9"/>
        </w:numPr>
        <w:shd w:val="clear" w:color="auto" w:fill="FFFFFF"/>
        <w:spacing w:before="150" w:after="0" w:line="360" w:lineRule="auto"/>
        <w:jc w:val="both"/>
        <w:rPr>
          <w:rFonts w:ascii="David" w:hAnsi="David" w:cs="David"/>
          <w:sz w:val="24"/>
          <w:szCs w:val="24"/>
        </w:rPr>
      </w:pPr>
      <w:r>
        <w:rPr>
          <w:rFonts w:ascii="David" w:hAnsi="David" w:cs="David"/>
          <w:sz w:val="24"/>
          <w:szCs w:val="24"/>
          <w:rtl/>
        </w:rPr>
        <w:t xml:space="preserve">התביעה שהגיש ח"כ מיקי (מכלוף) זוהר התייחסה לפרסום בעיתון "מעריב" בו נאמר כי -  </w:t>
      </w:r>
      <w:r>
        <w:rPr>
          <w:rFonts w:ascii="David" w:hAnsi="David" w:cs="David"/>
          <w:b/>
          <w:bCs/>
          <w:color w:val="000000"/>
          <w:sz w:val="24"/>
          <w:szCs w:val="24"/>
        </w:rPr>
        <w:t>"</w:t>
      </w:r>
      <w:r>
        <w:rPr>
          <w:rFonts w:ascii="David" w:hAnsi="David" w:cs="David"/>
          <w:b/>
          <w:bCs/>
          <w:color w:val="000000"/>
          <w:sz w:val="24"/>
          <w:szCs w:val="24"/>
          <w:rtl/>
        </w:rPr>
        <w:t>מיקי זוהר הוא חייל בכיר בארגון הפשע של נתניהו שלא מפסיק להסית ולשקר</w:t>
      </w:r>
      <w:r>
        <w:rPr>
          <w:rFonts w:ascii="David" w:hAnsi="David" w:cs="David"/>
          <w:b/>
          <w:bCs/>
          <w:color w:val="000000"/>
          <w:sz w:val="24"/>
          <w:szCs w:val="24"/>
        </w:rPr>
        <w:t>"</w:t>
      </w:r>
      <w:r>
        <w:rPr>
          <w:rFonts w:ascii="David" w:hAnsi="David" w:cs="David"/>
          <w:sz w:val="24"/>
          <w:szCs w:val="24"/>
          <w:rtl/>
        </w:rPr>
        <w:t xml:space="preserve">. </w:t>
      </w:r>
      <w:r w:rsidR="007811B3">
        <w:rPr>
          <w:rFonts w:ascii="David" w:hAnsi="David" w:cs="David" w:hint="cs"/>
          <w:sz w:val="24"/>
          <w:szCs w:val="24"/>
          <w:rtl/>
        </w:rPr>
        <w:t xml:space="preserve">בתחילה דחה </w:t>
      </w:r>
      <w:r>
        <w:rPr>
          <w:rFonts w:ascii="David" w:hAnsi="David" w:cs="David"/>
          <w:sz w:val="24"/>
          <w:szCs w:val="24"/>
          <w:rtl/>
        </w:rPr>
        <w:t xml:space="preserve">בית משפט השלום </w:t>
      </w:r>
      <w:r w:rsidR="007811B3">
        <w:rPr>
          <w:rFonts w:ascii="David" w:hAnsi="David" w:cs="David"/>
          <w:sz w:val="24"/>
          <w:szCs w:val="24"/>
          <w:rtl/>
        </w:rPr>
        <w:t xml:space="preserve">את התביעה </w:t>
      </w:r>
      <w:r w:rsidR="007811B3">
        <w:rPr>
          <w:rFonts w:ascii="David" w:hAnsi="David" w:cs="David" w:hint="cs"/>
          <w:sz w:val="24"/>
          <w:szCs w:val="24"/>
          <w:rtl/>
        </w:rPr>
        <w:t xml:space="preserve">במסגרת </w:t>
      </w:r>
      <w:r w:rsidRPr="007811B3">
        <w:rPr>
          <w:rFonts w:ascii="David" w:hAnsi="David" w:cs="David"/>
          <w:color w:val="000000"/>
          <w:sz w:val="24"/>
          <w:szCs w:val="24"/>
          <w:rtl/>
        </w:rPr>
        <w:t>ת</w:t>
      </w:r>
      <w:r w:rsidR="007811B3">
        <w:rPr>
          <w:rFonts w:ascii="David" w:hAnsi="David" w:cs="David" w:hint="cs"/>
          <w:color w:val="000000"/>
          <w:sz w:val="24"/>
          <w:szCs w:val="24"/>
          <w:rtl/>
        </w:rPr>
        <w:t>"</w:t>
      </w:r>
      <w:r w:rsidRPr="007811B3">
        <w:rPr>
          <w:rFonts w:ascii="David" w:hAnsi="David" w:cs="David"/>
          <w:color w:val="000000"/>
          <w:sz w:val="24"/>
          <w:szCs w:val="24"/>
          <w:rtl/>
        </w:rPr>
        <w:t xml:space="preserve">א (פ"ת) 24312-01-21‏ ‏ </w:t>
      </w:r>
      <w:r>
        <w:rPr>
          <w:rFonts w:ascii="David" w:hAnsi="David" w:cs="David"/>
          <w:color w:val="000000"/>
          <w:sz w:val="24"/>
          <w:szCs w:val="24"/>
          <w:u w:val="single"/>
          <w:rtl/>
        </w:rPr>
        <w:t>ח"כ מיקי (מכלוף) זוהר נ' עמותת חוזה חדש</w:t>
      </w:r>
      <w:r>
        <w:rPr>
          <w:rFonts w:ascii="David" w:hAnsi="David" w:cs="David"/>
          <w:sz w:val="24"/>
          <w:szCs w:val="24"/>
          <w:rtl/>
        </w:rPr>
        <w:t xml:space="preserve"> (מיום 23/3/2022, השופטת נ' מימון – שעשוע). </w:t>
      </w:r>
      <w:r w:rsidR="007811B3">
        <w:rPr>
          <w:rFonts w:ascii="David" w:hAnsi="David" w:cs="David" w:hint="cs"/>
          <w:sz w:val="24"/>
          <w:szCs w:val="24"/>
          <w:rtl/>
        </w:rPr>
        <w:t xml:space="preserve">בהמשך </w:t>
      </w:r>
      <w:r>
        <w:rPr>
          <w:rFonts w:ascii="David" w:hAnsi="David" w:cs="David"/>
          <w:sz w:val="24"/>
          <w:szCs w:val="24"/>
          <w:rtl/>
        </w:rPr>
        <w:t xml:space="preserve">מנגד – </w:t>
      </w:r>
      <w:r w:rsidR="007811B3">
        <w:rPr>
          <w:rFonts w:ascii="David" w:hAnsi="David" w:cs="David" w:hint="cs"/>
          <w:sz w:val="24"/>
          <w:szCs w:val="24"/>
          <w:rtl/>
        </w:rPr>
        <w:t xml:space="preserve">קיבל </w:t>
      </w:r>
      <w:r>
        <w:rPr>
          <w:rFonts w:ascii="David" w:hAnsi="David" w:cs="David"/>
          <w:sz w:val="24"/>
          <w:szCs w:val="24"/>
          <w:rtl/>
        </w:rPr>
        <w:t xml:space="preserve">בית המשפט המחוזי את ערעורו של חבר הכנסת זוהר וקבע כי האמירה היא בגדר הוצאת לשון הרע, ור' </w:t>
      </w:r>
      <w:r>
        <w:rPr>
          <w:rFonts w:ascii="David" w:hAnsi="David" w:cs="David"/>
          <w:color w:val="000000"/>
          <w:sz w:val="24"/>
          <w:szCs w:val="24"/>
          <w:u w:val="single"/>
          <w:rtl/>
        </w:rPr>
        <w:t>ע"א (מרכז) 33654-05-22‏  מיקי זוהר נ' חוזה חדש</w:t>
      </w:r>
      <w:r>
        <w:rPr>
          <w:rFonts w:ascii="David" w:hAnsi="David" w:cs="David"/>
          <w:sz w:val="24"/>
          <w:szCs w:val="24"/>
          <w:rtl/>
        </w:rPr>
        <w:t xml:space="preserve"> (מיום 29/11/2022, סג' נ' הש' אורן שוורץ). </w:t>
      </w:r>
    </w:p>
    <w:p w:rsidR="007811B3" w:rsidRPr="007811B3" w:rsidRDefault="007811B3" w:rsidP="007811B3">
      <w:pPr>
        <w:pStyle w:val="ad"/>
        <w:rPr>
          <w:rFonts w:ascii="David" w:hAnsi="David" w:cs="David"/>
          <w:sz w:val="24"/>
          <w:szCs w:val="24"/>
          <w:rtl/>
        </w:rPr>
      </w:pPr>
    </w:p>
    <w:p w:rsidR="00E0607A" w:rsidRPr="007811B3" w:rsidRDefault="00E0607A" w:rsidP="007811B3">
      <w:pPr>
        <w:pStyle w:val="ad"/>
        <w:numPr>
          <w:ilvl w:val="0"/>
          <w:numId w:val="9"/>
        </w:numPr>
        <w:shd w:val="clear" w:color="auto" w:fill="FFFFFF"/>
        <w:spacing w:before="150" w:after="0" w:line="360" w:lineRule="auto"/>
        <w:jc w:val="both"/>
        <w:rPr>
          <w:rFonts w:ascii="David" w:hAnsi="David" w:cs="David"/>
          <w:sz w:val="24"/>
          <w:szCs w:val="24"/>
          <w:rtl/>
        </w:rPr>
      </w:pPr>
      <w:r>
        <w:rPr>
          <w:rFonts w:ascii="David" w:hAnsi="David" w:cs="David"/>
          <w:sz w:val="24"/>
          <w:szCs w:val="24"/>
          <w:rtl/>
        </w:rPr>
        <w:t xml:space="preserve">כאשר הגיעה הסוגיה אל בית המשפט העליון, </w:t>
      </w:r>
      <w:r w:rsidR="007811B3" w:rsidRPr="007811B3">
        <w:rPr>
          <w:rFonts w:ascii="David" w:hAnsi="David" w:cs="David" w:hint="cs"/>
          <w:sz w:val="24"/>
          <w:szCs w:val="24"/>
          <w:u w:val="single"/>
          <w:rtl/>
        </w:rPr>
        <w:t>נדחתה</w:t>
      </w:r>
      <w:r w:rsidR="007811B3">
        <w:rPr>
          <w:rFonts w:ascii="David" w:hAnsi="David" w:cs="David" w:hint="cs"/>
          <w:sz w:val="24"/>
          <w:szCs w:val="24"/>
          <w:rtl/>
        </w:rPr>
        <w:t xml:space="preserve"> </w:t>
      </w:r>
      <w:r>
        <w:rPr>
          <w:rFonts w:ascii="David" w:hAnsi="David" w:cs="David"/>
          <w:sz w:val="24"/>
          <w:szCs w:val="24"/>
          <w:rtl/>
        </w:rPr>
        <w:t>עמדתו של חבר הכנסת זוהר ו</w:t>
      </w:r>
      <w:r w:rsidR="007811B3">
        <w:rPr>
          <w:rFonts w:ascii="David" w:hAnsi="David" w:cs="David" w:hint="cs"/>
          <w:sz w:val="24"/>
          <w:szCs w:val="24"/>
          <w:rtl/>
        </w:rPr>
        <w:t>נ</w:t>
      </w:r>
      <w:r>
        <w:rPr>
          <w:rFonts w:ascii="David" w:hAnsi="David" w:cs="David"/>
          <w:sz w:val="24"/>
          <w:szCs w:val="24"/>
          <w:rtl/>
        </w:rPr>
        <w:t xml:space="preserve">קבע כי </w:t>
      </w:r>
      <w:r w:rsidRPr="007811B3">
        <w:rPr>
          <w:rFonts w:ascii="David" w:hAnsi="David" w:cs="David"/>
          <w:sz w:val="24"/>
          <w:szCs w:val="24"/>
          <w:u w:val="single"/>
          <w:rtl/>
        </w:rPr>
        <w:t>אין</w:t>
      </w:r>
      <w:r>
        <w:rPr>
          <w:rFonts w:ascii="David" w:hAnsi="David" w:cs="David"/>
          <w:sz w:val="24"/>
          <w:szCs w:val="24"/>
          <w:rtl/>
        </w:rPr>
        <w:t xml:space="preserve"> מדובר באמירה שהיא בגדר הוצא</w:t>
      </w:r>
      <w:r w:rsidR="007811B3">
        <w:rPr>
          <w:rFonts w:ascii="David" w:hAnsi="David" w:cs="David"/>
          <w:sz w:val="24"/>
          <w:szCs w:val="24"/>
          <w:rtl/>
        </w:rPr>
        <w:t xml:space="preserve">ת לשון הרע. </w:t>
      </w:r>
      <w:r w:rsidR="007811B3">
        <w:rPr>
          <w:rFonts w:ascii="David" w:hAnsi="David" w:cs="David" w:hint="cs"/>
          <w:sz w:val="24"/>
          <w:szCs w:val="24"/>
          <w:rtl/>
        </w:rPr>
        <w:t xml:space="preserve">כל זאת במסגרת </w:t>
      </w:r>
      <w:r w:rsidRPr="007811B3">
        <w:rPr>
          <w:rFonts w:ascii="David" w:hAnsi="David" w:cs="David"/>
          <w:sz w:val="24"/>
          <w:szCs w:val="24"/>
          <w:rtl/>
        </w:rPr>
        <w:t xml:space="preserve">רע"א 817/23, </w:t>
      </w:r>
      <w:r w:rsidRPr="007811B3">
        <w:rPr>
          <w:rFonts w:ascii="David" w:hAnsi="David" w:cs="David"/>
          <w:sz w:val="24"/>
          <w:szCs w:val="24"/>
          <w:u w:val="single"/>
          <w:rtl/>
        </w:rPr>
        <w:t>עמותת חוזה חדש נגד ח"כ מיקי (מכלוף) זוהר</w:t>
      </w:r>
      <w:r w:rsidRPr="007811B3">
        <w:rPr>
          <w:rFonts w:ascii="David" w:hAnsi="David" w:cs="David"/>
          <w:sz w:val="24"/>
          <w:szCs w:val="24"/>
          <w:rtl/>
        </w:rPr>
        <w:t xml:space="preserve"> (מיום 30/5/2023, הש' נ' סולברג, י' וילנר, א' שטיין). להשלמה ייאמר שבמועד כתיבת פסק דין זה תלויה ועומדת בקשת לקיים דיון נוסף בהליך.</w:t>
      </w:r>
    </w:p>
    <w:p w:rsidR="00E0607A" w:rsidRDefault="00E0607A" w:rsidP="00E0607A">
      <w:pPr>
        <w:pStyle w:val="ad"/>
        <w:rPr>
          <w:rFonts w:ascii="David" w:hAnsi="David" w:cs="David"/>
          <w:sz w:val="24"/>
          <w:szCs w:val="24"/>
        </w:rPr>
      </w:pPr>
    </w:p>
    <w:p w:rsidR="00E0607A" w:rsidRPr="00A75828" w:rsidRDefault="00E0607A" w:rsidP="00A75828">
      <w:pPr>
        <w:pStyle w:val="ad"/>
        <w:numPr>
          <w:ilvl w:val="0"/>
          <w:numId w:val="9"/>
        </w:numPr>
        <w:shd w:val="clear" w:color="auto" w:fill="FFFFFF"/>
        <w:spacing w:before="150" w:after="0" w:line="360" w:lineRule="auto"/>
        <w:jc w:val="both"/>
        <w:rPr>
          <w:rFonts w:ascii="David" w:hAnsi="David" w:cs="David"/>
          <w:sz w:val="24"/>
          <w:szCs w:val="24"/>
        </w:rPr>
      </w:pPr>
      <w:r>
        <w:rPr>
          <w:rFonts w:ascii="David" w:hAnsi="David" w:cs="David"/>
          <w:sz w:val="24"/>
          <w:szCs w:val="24"/>
          <w:rtl/>
        </w:rPr>
        <w:lastRenderedPageBreak/>
        <w:t>בית המשפט העליון (כב' הש' נ' סולברג) התייחס לאמירה לפיה "</w:t>
      </w:r>
      <w:r>
        <w:rPr>
          <w:rFonts w:ascii="David" w:hAnsi="David" w:cs="David"/>
          <w:b/>
          <w:bCs/>
          <w:color w:val="000000"/>
          <w:sz w:val="24"/>
          <w:szCs w:val="24"/>
          <w:rtl/>
        </w:rPr>
        <w:t xml:space="preserve"> מיקי זוהר הוא חייל בכיר בארגון הפשע של נתניהו"</w:t>
      </w:r>
      <w:r>
        <w:rPr>
          <w:rFonts w:ascii="David" w:hAnsi="David" w:cs="David"/>
          <w:color w:val="000000"/>
          <w:sz w:val="24"/>
          <w:szCs w:val="24"/>
          <w:rtl/>
        </w:rPr>
        <w:t xml:space="preserve"> וקבע שבנסיבות הענין מדובר בהבעת דעה בלבד </w:t>
      </w:r>
      <w:r>
        <w:rPr>
          <w:rFonts w:ascii="David" w:hAnsi="David" w:cs="David"/>
          <w:b/>
          <w:bCs/>
          <w:color w:val="000000"/>
          <w:spacing w:val="10"/>
          <w:sz w:val="24"/>
          <w:szCs w:val="24"/>
          <w:shd w:val="clear" w:color="auto" w:fill="FFFFFF"/>
          <w:rtl/>
        </w:rPr>
        <w:t>"המרוחקת יותר מהגדרת לשון הרע, ולא כתיאור עובדתי</w:t>
      </w:r>
      <w:r>
        <w:rPr>
          <w:b/>
          <w:bCs/>
          <w:rtl/>
        </w:rPr>
        <w:t>"</w:t>
      </w:r>
      <w:r>
        <w:rPr>
          <w:rtl/>
        </w:rPr>
        <w:t xml:space="preserve">. </w:t>
      </w:r>
      <w:r w:rsidRPr="00FE586A">
        <w:rPr>
          <w:rFonts w:ascii="David" w:hAnsi="David" w:cs="David"/>
          <w:sz w:val="24"/>
          <w:szCs w:val="24"/>
          <w:rtl/>
        </w:rPr>
        <w:t>הינה לפנינו דוגמא בה אמירה קשה המפורסמת בעיתונות כנגד חבר כנסת, נמצאת כאמירה מוגנת על פי חוק שאינה בגדר הוצאת לשון הרע.</w:t>
      </w:r>
      <w:r w:rsidR="00FE586A">
        <w:rPr>
          <w:rFonts w:ascii="David" w:hAnsi="David" w:cs="David" w:hint="cs"/>
          <w:sz w:val="24"/>
          <w:szCs w:val="24"/>
          <w:rtl/>
        </w:rPr>
        <w:t xml:space="preserve"> </w:t>
      </w:r>
      <w:r w:rsidR="00FE586A" w:rsidRPr="00A75828">
        <w:rPr>
          <w:rFonts w:ascii="David" w:hAnsi="David" w:cs="David" w:hint="cs"/>
          <w:sz w:val="24"/>
          <w:szCs w:val="24"/>
          <w:rtl/>
        </w:rPr>
        <w:t>הנתבע מבקש ללמוד מפסק דין זה גם לעניינינו</w:t>
      </w:r>
      <w:r w:rsidR="00FE586A" w:rsidRPr="00A75828">
        <w:rPr>
          <w:rFonts w:ascii="David" w:hAnsi="David" w:cs="David"/>
          <w:sz w:val="24"/>
          <w:szCs w:val="24"/>
          <w:u w:val="single"/>
          <w:rtl/>
        </w:rPr>
        <w:t xml:space="preserve"> </w:t>
      </w:r>
      <w:r w:rsidRPr="00A75828">
        <w:rPr>
          <w:rFonts w:ascii="David" w:hAnsi="David" w:cs="David"/>
          <w:sz w:val="24"/>
          <w:szCs w:val="24"/>
          <w:u w:val="single"/>
          <w:rtl/>
        </w:rPr>
        <w:t>ואולם</w:t>
      </w:r>
      <w:r w:rsidRPr="00A75828">
        <w:rPr>
          <w:rFonts w:ascii="David" w:hAnsi="David" w:cs="David"/>
          <w:sz w:val="24"/>
          <w:szCs w:val="24"/>
          <w:rtl/>
        </w:rPr>
        <w:t xml:space="preserve">, אם ניישם את מבחני בית המשפט העליון בענין מיקי (מכלוף) זוהר – נמצא </w:t>
      </w:r>
      <w:r w:rsidR="00B27566" w:rsidRPr="00A75828">
        <w:rPr>
          <w:rFonts w:ascii="David" w:hAnsi="David" w:cs="David" w:hint="cs"/>
          <w:sz w:val="24"/>
          <w:szCs w:val="24"/>
          <w:rtl/>
        </w:rPr>
        <w:t xml:space="preserve">דווקא </w:t>
      </w:r>
      <w:r w:rsidRPr="00A75828">
        <w:rPr>
          <w:rFonts w:ascii="David" w:hAnsi="David" w:cs="David"/>
          <w:sz w:val="24"/>
          <w:szCs w:val="24"/>
          <w:rtl/>
        </w:rPr>
        <w:t>שהגנת הבעת דעה אינה עומדת לנתבע. על כך בפסקה הבאה.</w:t>
      </w:r>
    </w:p>
    <w:p w:rsidR="00E0607A" w:rsidRDefault="00E0607A" w:rsidP="00E0607A">
      <w:pPr>
        <w:pStyle w:val="ad"/>
        <w:shd w:val="clear" w:color="auto" w:fill="FFFFFF"/>
        <w:spacing w:before="150" w:after="0" w:line="360" w:lineRule="auto"/>
        <w:ind w:left="1115"/>
        <w:jc w:val="both"/>
        <w:rPr>
          <w:rFonts w:ascii="David" w:hAnsi="David" w:cs="David"/>
          <w:sz w:val="24"/>
          <w:szCs w:val="24"/>
          <w:rtl/>
        </w:rPr>
      </w:pPr>
    </w:p>
    <w:p w:rsidR="00A75828" w:rsidRDefault="00E0607A" w:rsidP="00A75828">
      <w:pPr>
        <w:pStyle w:val="ad"/>
        <w:numPr>
          <w:ilvl w:val="0"/>
          <w:numId w:val="9"/>
        </w:numPr>
        <w:shd w:val="clear" w:color="auto" w:fill="FFFFFF"/>
        <w:spacing w:before="150" w:after="0" w:line="360" w:lineRule="auto"/>
        <w:jc w:val="both"/>
        <w:rPr>
          <w:rFonts w:ascii="David" w:hAnsi="David" w:cs="David"/>
          <w:sz w:val="24"/>
          <w:szCs w:val="24"/>
        </w:rPr>
      </w:pPr>
      <w:r>
        <w:rPr>
          <w:rFonts w:ascii="David" w:hAnsi="David" w:cs="David"/>
          <w:sz w:val="24"/>
          <w:szCs w:val="24"/>
          <w:rtl/>
        </w:rPr>
        <w:t xml:space="preserve">במסגרת </w:t>
      </w:r>
      <w:r w:rsidR="000738A9">
        <w:rPr>
          <w:rFonts w:ascii="David" w:hAnsi="David" w:cs="David" w:hint="cs"/>
          <w:sz w:val="24"/>
          <w:szCs w:val="24"/>
          <w:rtl/>
        </w:rPr>
        <w:t xml:space="preserve">הדיון </w:t>
      </w:r>
      <w:r>
        <w:rPr>
          <w:rFonts w:ascii="David" w:hAnsi="David" w:cs="David"/>
          <w:sz w:val="24"/>
          <w:szCs w:val="24"/>
          <w:rtl/>
        </w:rPr>
        <w:t>ביחס לחבר הכנסת זוהר,</w:t>
      </w:r>
      <w:r w:rsidR="00B27566">
        <w:rPr>
          <w:rFonts w:ascii="David" w:hAnsi="David" w:cs="David" w:hint="cs"/>
          <w:sz w:val="24"/>
          <w:szCs w:val="24"/>
          <w:rtl/>
        </w:rPr>
        <w:t xml:space="preserve"> </w:t>
      </w:r>
      <w:r w:rsidR="000738A9">
        <w:rPr>
          <w:rFonts w:ascii="David" w:hAnsi="David" w:cs="David" w:hint="cs"/>
          <w:sz w:val="24"/>
          <w:szCs w:val="24"/>
          <w:rtl/>
        </w:rPr>
        <w:t xml:space="preserve">קבע בית המשפט העליון (הש' </w:t>
      </w:r>
      <w:r w:rsidR="00A75828">
        <w:rPr>
          <w:rFonts w:ascii="David" w:hAnsi="David" w:cs="David" w:hint="cs"/>
          <w:sz w:val="24"/>
          <w:szCs w:val="24"/>
          <w:rtl/>
        </w:rPr>
        <w:t xml:space="preserve">נ' סולברג) </w:t>
      </w:r>
      <w:r>
        <w:rPr>
          <w:rFonts w:ascii="David" w:hAnsi="David" w:cs="David"/>
          <w:sz w:val="24"/>
          <w:szCs w:val="24"/>
          <w:rtl/>
        </w:rPr>
        <w:t xml:space="preserve">שהאמירה לפיה חבר הכנסת זוהר </w:t>
      </w:r>
      <w:r>
        <w:rPr>
          <w:rFonts w:ascii="David" w:hAnsi="David" w:cs="David"/>
          <w:b/>
          <w:bCs/>
          <w:color w:val="000000"/>
          <w:sz w:val="24"/>
          <w:szCs w:val="24"/>
          <w:rtl/>
        </w:rPr>
        <w:t>"הוא חייל בכיר בארגון הפשע של נתניהו"</w:t>
      </w:r>
      <w:r>
        <w:rPr>
          <w:rFonts w:ascii="David" w:hAnsi="David" w:cs="David"/>
          <w:sz w:val="24"/>
          <w:szCs w:val="24"/>
          <w:rtl/>
        </w:rPr>
        <w:t xml:space="preserve"> – לא הביאה לכך שהקורא ייחס לחבר הכנסת זוהר עבירה "קונקרטית". וכלשון בית המשפט (סעיף 27 לפסק הדין, ההדגשות לא במקור) – </w:t>
      </w:r>
      <w:r>
        <w:rPr>
          <w:rFonts w:ascii="David" w:hAnsi="David" w:cs="David"/>
          <w:b/>
          <w:bCs/>
          <w:sz w:val="24"/>
          <w:szCs w:val="24"/>
          <w:rtl/>
        </w:rPr>
        <w:t>"</w:t>
      </w:r>
      <w:r>
        <w:rPr>
          <w:rFonts w:ascii="David" w:hAnsi="David" w:cs="David"/>
          <w:b/>
          <w:bCs/>
          <w:color w:val="000000"/>
          <w:spacing w:val="10"/>
          <w:sz w:val="24"/>
          <w:szCs w:val="24"/>
          <w:shd w:val="clear" w:color="auto" w:fill="FFFFFF"/>
          <w:rtl/>
        </w:rPr>
        <w:t xml:space="preserve">האמירה בדבר ההשתייכות לארגון הפשיעה הוצגה באופן כללי, מעין כותרת לתגובה, </w:t>
      </w:r>
      <w:r>
        <w:rPr>
          <w:rFonts w:ascii="David" w:hAnsi="David" w:cs="David"/>
          <w:b/>
          <w:bCs/>
          <w:color w:val="000000"/>
          <w:spacing w:val="10"/>
          <w:sz w:val="24"/>
          <w:szCs w:val="24"/>
          <w:u w:val="single"/>
          <w:shd w:val="clear" w:color="auto" w:fill="FFFFFF"/>
          <w:rtl/>
        </w:rPr>
        <w:t>ללא כל קישור של הדברים לאירוע או למעשים קונקרטיים</w:t>
      </w:r>
      <w:r>
        <w:rPr>
          <w:b/>
          <w:bCs/>
          <w:rtl/>
        </w:rPr>
        <w:t>"</w:t>
      </w:r>
      <w:r>
        <w:rPr>
          <w:rtl/>
        </w:rPr>
        <w:t xml:space="preserve">. </w:t>
      </w:r>
      <w:r w:rsidRPr="00B27566">
        <w:rPr>
          <w:rFonts w:ascii="David" w:hAnsi="David" w:cs="David"/>
          <w:sz w:val="24"/>
          <w:szCs w:val="24"/>
          <w:rtl/>
        </w:rPr>
        <w:t xml:space="preserve">ומה אם היה מדובר בהתייחסות ל"מקרים קונקרטיים"? גם לכך מתייחס הש' נ' סולברג וקובע כך (ההדגשות לא במקור) – </w:t>
      </w:r>
      <w:r w:rsidRPr="00B27566">
        <w:rPr>
          <w:rFonts w:ascii="David" w:hAnsi="David" w:cs="David"/>
          <w:b/>
          <w:bCs/>
          <w:sz w:val="24"/>
          <w:szCs w:val="24"/>
          <w:rtl/>
        </w:rPr>
        <w:t>"</w:t>
      </w:r>
      <w:r w:rsidRPr="00B27566">
        <w:rPr>
          <w:rFonts w:ascii="David" w:hAnsi="David" w:cs="David"/>
          <w:b/>
          <w:bCs/>
          <w:color w:val="000000"/>
          <w:spacing w:val="10"/>
          <w:sz w:val="24"/>
          <w:szCs w:val="24"/>
          <w:shd w:val="clear" w:color="auto" w:fill="FFFFFF"/>
          <w:rtl/>
        </w:rPr>
        <w:t xml:space="preserve">מסקנתי עשויה היתה להשתנות, </w:t>
      </w:r>
      <w:r w:rsidRPr="00B27566">
        <w:rPr>
          <w:rFonts w:ascii="David" w:hAnsi="David" w:cs="David"/>
          <w:b/>
          <w:bCs/>
          <w:color w:val="000000"/>
          <w:spacing w:val="10"/>
          <w:sz w:val="24"/>
          <w:szCs w:val="24"/>
          <w:u w:val="single"/>
          <w:shd w:val="clear" w:color="auto" w:fill="FFFFFF"/>
          <w:rtl/>
        </w:rPr>
        <w:t>אילו הוצגה אמירה ספציפית וקונקרטית</w:t>
      </w:r>
      <w:r w:rsidRPr="00B27566">
        <w:rPr>
          <w:rFonts w:ascii="David" w:hAnsi="David" w:cs="David"/>
          <w:b/>
          <w:bCs/>
          <w:color w:val="000000"/>
          <w:spacing w:val="10"/>
          <w:sz w:val="24"/>
          <w:szCs w:val="24"/>
          <w:shd w:val="clear" w:color="auto" w:fill="FFFFFF"/>
          <w:rtl/>
        </w:rPr>
        <w:t xml:space="preserve"> יותר בדבר קיומם של מעשי פשיעה וכיוצא באלה, אלא שלא אלו הם פני הדברים</w:t>
      </w:r>
      <w:r w:rsidRPr="00B27566">
        <w:rPr>
          <w:rFonts w:ascii="David" w:hAnsi="David" w:cs="David"/>
          <w:b/>
          <w:bCs/>
          <w:color w:val="000000"/>
          <w:spacing w:val="10"/>
          <w:sz w:val="24"/>
          <w:szCs w:val="24"/>
          <w:shd w:val="clear" w:color="auto" w:fill="FFFFFF"/>
        </w:rPr>
        <w:t>.</w:t>
      </w:r>
      <w:r w:rsidRPr="00B27566">
        <w:rPr>
          <w:rFonts w:ascii="David" w:hAnsi="David" w:cs="David"/>
          <w:b/>
          <w:bCs/>
          <w:sz w:val="24"/>
          <w:szCs w:val="24"/>
          <w:rtl/>
        </w:rPr>
        <w:t>"</w:t>
      </w:r>
      <w:r w:rsidRPr="00B27566">
        <w:rPr>
          <w:rFonts w:ascii="David" w:hAnsi="David" w:cs="David"/>
          <w:sz w:val="24"/>
          <w:szCs w:val="24"/>
          <w:rtl/>
        </w:rPr>
        <w:t xml:space="preserve"> </w:t>
      </w:r>
    </w:p>
    <w:p w:rsidR="00E0607A" w:rsidRPr="00B27566" w:rsidRDefault="00E0607A" w:rsidP="00A75828">
      <w:pPr>
        <w:pStyle w:val="ad"/>
        <w:shd w:val="clear" w:color="auto" w:fill="FFFFFF"/>
        <w:spacing w:before="150" w:after="0" w:line="360" w:lineRule="auto"/>
        <w:ind w:left="1115"/>
        <w:jc w:val="both"/>
        <w:rPr>
          <w:rFonts w:ascii="David" w:hAnsi="David" w:cs="David"/>
          <w:sz w:val="24"/>
          <w:szCs w:val="24"/>
          <w:rtl/>
        </w:rPr>
      </w:pPr>
      <w:r w:rsidRPr="00B27566">
        <w:rPr>
          <w:rFonts w:ascii="David" w:hAnsi="David" w:cs="David"/>
          <w:sz w:val="24"/>
          <w:szCs w:val="24"/>
          <w:rtl/>
        </w:rPr>
        <w:t xml:space="preserve">כלומר, ככל שהפרסום ביחס לחבר הכנסת זוהר לא היה כללי בדבר היותו </w:t>
      </w:r>
      <w:r w:rsidRPr="00B27566">
        <w:rPr>
          <w:rFonts w:ascii="David" w:hAnsi="David" w:cs="David"/>
          <w:b/>
          <w:bCs/>
          <w:sz w:val="24"/>
          <w:szCs w:val="24"/>
          <w:rtl/>
        </w:rPr>
        <w:t>"חייל בכיר בארגון הפשע של נתניהו"</w:t>
      </w:r>
      <w:r w:rsidRPr="00B27566">
        <w:rPr>
          <w:rFonts w:ascii="David" w:hAnsi="David" w:cs="David"/>
          <w:sz w:val="24"/>
          <w:szCs w:val="24"/>
          <w:rtl/>
        </w:rPr>
        <w:t xml:space="preserve">, אלא היה מפנה למעשה </w:t>
      </w:r>
      <w:r w:rsidRPr="00B27566">
        <w:rPr>
          <w:rFonts w:ascii="David" w:hAnsi="David" w:cs="David"/>
          <w:sz w:val="24"/>
          <w:szCs w:val="24"/>
          <w:u w:val="single"/>
          <w:rtl/>
        </w:rPr>
        <w:t>ספציפי וקונקרטי</w:t>
      </w:r>
      <w:r w:rsidRPr="00B27566">
        <w:rPr>
          <w:rFonts w:ascii="David" w:hAnsi="David" w:cs="David"/>
          <w:sz w:val="24"/>
          <w:szCs w:val="24"/>
          <w:rtl/>
        </w:rPr>
        <w:t xml:space="preserve"> שבוצע – במקרה כזה</w:t>
      </w:r>
      <w:r w:rsidR="00A75828">
        <w:rPr>
          <w:rFonts w:ascii="David" w:hAnsi="David" w:cs="David" w:hint="cs"/>
          <w:sz w:val="24"/>
          <w:szCs w:val="24"/>
          <w:rtl/>
        </w:rPr>
        <w:t>,</w:t>
      </w:r>
      <w:r w:rsidRPr="00B27566">
        <w:rPr>
          <w:rFonts w:ascii="David" w:hAnsi="David" w:cs="David"/>
          <w:sz w:val="24"/>
          <w:szCs w:val="24"/>
          <w:rtl/>
        </w:rPr>
        <w:t xml:space="preserve"> בית המשפט העליון היה משנה קביעתו ומתייחס לפרסום כאל לשון הרע.</w:t>
      </w:r>
    </w:p>
    <w:p w:rsidR="00E0607A" w:rsidRDefault="00E0607A" w:rsidP="00E0607A">
      <w:pPr>
        <w:pStyle w:val="ad"/>
        <w:shd w:val="clear" w:color="auto" w:fill="FFFFFF"/>
        <w:spacing w:before="150" w:after="0" w:line="360" w:lineRule="auto"/>
        <w:ind w:left="1115"/>
        <w:jc w:val="both"/>
        <w:rPr>
          <w:rFonts w:ascii="David" w:hAnsi="David" w:cs="David"/>
          <w:sz w:val="24"/>
          <w:szCs w:val="24"/>
        </w:rPr>
      </w:pPr>
    </w:p>
    <w:p w:rsidR="00E0607A" w:rsidRDefault="00E0607A" w:rsidP="00B27566">
      <w:pPr>
        <w:pStyle w:val="ad"/>
        <w:numPr>
          <w:ilvl w:val="0"/>
          <w:numId w:val="9"/>
        </w:numPr>
        <w:shd w:val="clear" w:color="auto" w:fill="FFFFFF"/>
        <w:spacing w:before="150" w:after="0" w:line="360" w:lineRule="auto"/>
        <w:jc w:val="both"/>
        <w:rPr>
          <w:rFonts w:ascii="David" w:hAnsi="David" w:cs="David"/>
          <w:sz w:val="24"/>
          <w:szCs w:val="24"/>
        </w:rPr>
      </w:pPr>
      <w:r>
        <w:rPr>
          <w:rFonts w:ascii="David" w:hAnsi="David" w:cs="David"/>
          <w:b/>
          <w:bCs/>
          <w:sz w:val="24"/>
          <w:szCs w:val="24"/>
          <w:u w:val="single"/>
          <w:rtl/>
        </w:rPr>
        <w:t>אסון</w:t>
      </w:r>
      <w:r w:rsidR="00B27566">
        <w:rPr>
          <w:rFonts w:ascii="David" w:hAnsi="David" w:cs="David" w:hint="cs"/>
          <w:b/>
          <w:bCs/>
          <w:sz w:val="24"/>
          <w:szCs w:val="24"/>
          <w:u w:val="single"/>
          <w:rtl/>
        </w:rPr>
        <w:t xml:space="preserve"> הר מירון</w:t>
      </w:r>
      <w:r>
        <w:rPr>
          <w:rFonts w:ascii="David" w:hAnsi="David" w:cs="David"/>
          <w:b/>
          <w:bCs/>
          <w:sz w:val="24"/>
          <w:szCs w:val="24"/>
          <w:u w:val="single"/>
          <w:rtl/>
        </w:rPr>
        <w:t xml:space="preserve"> הוא</w:t>
      </w:r>
      <w:r w:rsidR="00B27566">
        <w:rPr>
          <w:rFonts w:ascii="David" w:hAnsi="David" w:cs="David" w:hint="cs"/>
          <w:b/>
          <w:bCs/>
          <w:sz w:val="24"/>
          <w:szCs w:val="24"/>
          <w:u w:val="single"/>
          <w:rtl/>
        </w:rPr>
        <w:t xml:space="preserve"> לצערנו</w:t>
      </w:r>
      <w:r>
        <w:rPr>
          <w:rFonts w:ascii="David" w:hAnsi="David" w:cs="David"/>
          <w:b/>
          <w:bCs/>
          <w:sz w:val="24"/>
          <w:szCs w:val="24"/>
          <w:u w:val="single"/>
          <w:rtl/>
        </w:rPr>
        <w:t xml:space="preserve"> אירוע ספציפי וקונקרטי</w:t>
      </w:r>
      <w:r>
        <w:rPr>
          <w:rFonts w:ascii="David" w:hAnsi="David" w:cs="David"/>
          <w:sz w:val="24"/>
          <w:szCs w:val="24"/>
          <w:rtl/>
        </w:rPr>
        <w:t xml:space="preserve"> - בעניינינו, מותם המצער של נספי אסון מירון הוא בהחלט אירוע "ספציפי וקונקרטי". הקורא הסביר המתייחס למוות זה רואה לנגד עיניו כיצד </w:t>
      </w:r>
      <w:r>
        <w:rPr>
          <w:rFonts w:ascii="David" w:hAnsi="David" w:cs="David"/>
          <w:b/>
          <w:bCs/>
          <w:color w:val="000000"/>
          <w:sz w:val="24"/>
          <w:szCs w:val="24"/>
          <w:shd w:val="clear" w:color="auto" w:fill="FFFFFF"/>
          <w:rtl/>
        </w:rPr>
        <w:t>"הנה מוטלות גופותינו שורה ארוכה, ארוכ</w:t>
      </w:r>
      <w:r>
        <w:rPr>
          <w:rFonts w:ascii="David" w:hAnsi="David" w:cs="David"/>
          <w:b/>
          <w:bCs/>
          <w:sz w:val="24"/>
          <w:szCs w:val="24"/>
          <w:rtl/>
        </w:rPr>
        <w:t>ה"</w:t>
      </w:r>
      <w:r>
        <w:rPr>
          <w:rFonts w:ascii="David" w:hAnsi="David" w:cs="David"/>
          <w:sz w:val="24"/>
          <w:szCs w:val="24"/>
          <w:rtl/>
        </w:rPr>
        <w:t xml:space="preserve">, כמילותיו של המשורר חיים גורי. וביחס לאותה שורה ארוכה של ארבעים וחמישה נספי אסון מירון – פרסם הנתבע אמירה ספציפית גם כן לפיה - </w:t>
      </w:r>
      <w:r>
        <w:rPr>
          <w:rFonts w:ascii="David" w:hAnsi="David" w:cs="David"/>
          <w:b/>
          <w:bCs/>
          <w:sz w:val="24"/>
          <w:szCs w:val="24"/>
          <w:rtl/>
        </w:rPr>
        <w:t>"דמם של 45 נספי אסון מירון מרוח על ידיו"</w:t>
      </w:r>
      <w:r>
        <w:rPr>
          <w:rFonts w:ascii="David" w:hAnsi="David" w:cs="David"/>
          <w:sz w:val="24"/>
          <w:szCs w:val="24"/>
          <w:rtl/>
        </w:rPr>
        <w:t xml:space="preserve"> של התובע. נראה שאמירה זו, גם אם פורסמה תוך כדי מאמר </w:t>
      </w:r>
      <w:r w:rsidRPr="00A75828">
        <w:rPr>
          <w:rFonts w:ascii="David" w:hAnsi="David" w:cs="David"/>
          <w:sz w:val="24"/>
          <w:szCs w:val="24"/>
          <w:rtl/>
        </w:rPr>
        <w:t xml:space="preserve">פובליציסטי </w:t>
      </w:r>
      <w:r>
        <w:rPr>
          <w:rFonts w:ascii="David" w:hAnsi="David" w:cs="David"/>
          <w:sz w:val="24"/>
          <w:szCs w:val="24"/>
          <w:rtl/>
        </w:rPr>
        <w:t>שהנתבע אינו המרכז בו – היא בגדר גשר אחד רחוק מידי ביחס לתובע.</w:t>
      </w:r>
      <w:r w:rsidR="00B27566">
        <w:rPr>
          <w:rFonts w:ascii="David" w:hAnsi="David" w:cs="David" w:hint="cs"/>
          <w:sz w:val="24"/>
          <w:szCs w:val="24"/>
          <w:rtl/>
        </w:rPr>
        <w:t xml:space="preserve"> זו בהחלט הוצאת לשון הרע.</w:t>
      </w:r>
    </w:p>
    <w:p w:rsidR="00E0607A" w:rsidRDefault="00E0607A" w:rsidP="00E0607A">
      <w:pPr>
        <w:pStyle w:val="ad"/>
        <w:spacing w:line="360" w:lineRule="auto"/>
        <w:ind w:left="755"/>
        <w:jc w:val="both"/>
        <w:rPr>
          <w:rFonts w:ascii="David" w:hAnsi="David" w:cs="David"/>
          <w:sz w:val="24"/>
          <w:szCs w:val="24"/>
          <w:rtl/>
        </w:rPr>
      </w:pPr>
    </w:p>
    <w:p w:rsidR="00E0607A" w:rsidRDefault="00E0607A" w:rsidP="00E0607A">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 xml:space="preserve">לנתבע </w:t>
      </w:r>
      <w:r w:rsidR="00A75828">
        <w:rPr>
          <w:rFonts w:ascii="David" w:hAnsi="David" w:cs="David" w:hint="cs"/>
          <w:b/>
          <w:bCs/>
          <w:sz w:val="24"/>
          <w:szCs w:val="24"/>
          <w:u w:val="single"/>
          <w:rtl/>
        </w:rPr>
        <w:t xml:space="preserve">גם </w:t>
      </w:r>
      <w:r>
        <w:rPr>
          <w:rFonts w:ascii="David" w:hAnsi="David" w:cs="David"/>
          <w:b/>
          <w:bCs/>
          <w:sz w:val="24"/>
          <w:szCs w:val="24"/>
          <w:u w:val="single"/>
          <w:rtl/>
        </w:rPr>
        <w:t>לא קמה הגנת סעיף 15(2) לחוק והפרסום אינו חוסה תחת הגנת "עיתונאות אחראית"</w:t>
      </w:r>
    </w:p>
    <w:p w:rsidR="00E0607A" w:rsidRDefault="00E0607A" w:rsidP="00E0607A">
      <w:pPr>
        <w:pStyle w:val="ad"/>
        <w:numPr>
          <w:ilvl w:val="0"/>
          <w:numId w:val="16"/>
        </w:numPr>
        <w:ind w:hanging="544"/>
        <w:rPr>
          <w:rFonts w:ascii="David" w:hAnsi="David" w:cs="David"/>
          <w:sz w:val="24"/>
          <w:szCs w:val="24"/>
        </w:rPr>
      </w:pPr>
      <w:r>
        <w:rPr>
          <w:rFonts w:ascii="David" w:hAnsi="David" w:cs="David"/>
          <w:sz w:val="24"/>
          <w:szCs w:val="24"/>
          <w:rtl/>
        </w:rPr>
        <w:t xml:space="preserve">סעיף 15(2) לחוק איסור לשון הרע, מקים הגנה למפרסם ככל שהפרסום היה במצב בו – </w:t>
      </w:r>
    </w:p>
    <w:p w:rsidR="00DD5BA2" w:rsidRDefault="00DD5BA2" w:rsidP="00DD5BA2">
      <w:pPr>
        <w:pStyle w:val="ad"/>
        <w:ind w:left="1080"/>
        <w:rPr>
          <w:rFonts w:ascii="David" w:hAnsi="David" w:cs="David"/>
          <w:sz w:val="24"/>
          <w:szCs w:val="24"/>
        </w:rPr>
      </w:pPr>
    </w:p>
    <w:p w:rsidR="00E0607A" w:rsidRDefault="00E0607A" w:rsidP="00E0607A">
      <w:pPr>
        <w:pStyle w:val="ad"/>
        <w:spacing w:line="360" w:lineRule="auto"/>
        <w:ind w:left="1954"/>
        <w:rPr>
          <w:rFonts w:ascii="David" w:hAnsi="David" w:cs="David"/>
          <w:b/>
          <w:bCs/>
          <w:sz w:val="24"/>
          <w:szCs w:val="24"/>
          <w:rtl/>
        </w:rPr>
      </w:pPr>
      <w:r>
        <w:rPr>
          <w:rFonts w:ascii="David" w:hAnsi="David" w:cs="David"/>
          <w:b/>
          <w:bCs/>
          <w:color w:val="000000"/>
          <w:sz w:val="24"/>
          <w:szCs w:val="24"/>
          <w:shd w:val="clear" w:color="auto" w:fill="FFFFFF"/>
          <w:rtl/>
        </w:rPr>
        <w:t>"היחסים שבינו לבין האדם שאליו הופנה הפרסום הטילו עליו חובה חוקית, מוסרית או חברתית לעשות אותו פרסום</w:t>
      </w:r>
      <w:r>
        <w:rPr>
          <w:rFonts w:ascii="Arial" w:hAnsi="Arial" w:cs="Arial"/>
          <w:b/>
          <w:bCs/>
          <w:color w:val="000000"/>
          <w:sz w:val="21"/>
          <w:szCs w:val="21"/>
          <w:shd w:val="clear" w:color="auto" w:fill="FFFFFF"/>
        </w:rPr>
        <w:t>"</w:t>
      </w:r>
    </w:p>
    <w:p w:rsidR="00E0607A" w:rsidRDefault="00E0607A" w:rsidP="00E0607A">
      <w:pPr>
        <w:pStyle w:val="ad"/>
        <w:spacing w:line="360" w:lineRule="auto"/>
        <w:ind w:left="1077"/>
        <w:rPr>
          <w:rFonts w:ascii="David" w:hAnsi="David" w:cs="David"/>
          <w:sz w:val="24"/>
          <w:szCs w:val="24"/>
        </w:rPr>
      </w:pPr>
    </w:p>
    <w:p w:rsidR="00E0607A" w:rsidRDefault="00E0607A" w:rsidP="00534389">
      <w:pPr>
        <w:pStyle w:val="ad"/>
        <w:spacing w:line="360" w:lineRule="auto"/>
        <w:ind w:left="1103"/>
        <w:jc w:val="both"/>
        <w:rPr>
          <w:rFonts w:ascii="David" w:hAnsi="David" w:cs="David"/>
          <w:sz w:val="24"/>
          <w:szCs w:val="24"/>
          <w:rtl/>
        </w:rPr>
      </w:pPr>
      <w:r>
        <w:rPr>
          <w:rFonts w:ascii="David" w:hAnsi="David" w:cs="David"/>
          <w:sz w:val="24"/>
          <w:szCs w:val="24"/>
          <w:rtl/>
        </w:rPr>
        <w:lastRenderedPageBreak/>
        <w:t>הנתבע הוא עיתונאי, והאמירה המכפישה</w:t>
      </w:r>
      <w:r w:rsidR="00534389">
        <w:rPr>
          <w:rFonts w:ascii="David" w:hAnsi="David" w:cs="David" w:hint="cs"/>
          <w:sz w:val="24"/>
          <w:szCs w:val="24"/>
          <w:rtl/>
        </w:rPr>
        <w:t>, כדבריו,</w:t>
      </w:r>
      <w:r>
        <w:rPr>
          <w:rFonts w:ascii="David" w:hAnsi="David" w:cs="David"/>
          <w:sz w:val="24"/>
          <w:szCs w:val="24"/>
          <w:rtl/>
        </w:rPr>
        <w:t xml:space="preserve"> </w:t>
      </w:r>
      <w:r w:rsidR="00534389">
        <w:rPr>
          <w:rFonts w:ascii="David" w:hAnsi="David" w:cs="David" w:hint="cs"/>
          <w:sz w:val="24"/>
          <w:szCs w:val="24"/>
          <w:rtl/>
        </w:rPr>
        <w:t>נבלעת ב</w:t>
      </w:r>
      <w:r>
        <w:rPr>
          <w:rFonts w:ascii="David" w:hAnsi="David" w:cs="David"/>
          <w:sz w:val="24"/>
          <w:szCs w:val="24"/>
          <w:rtl/>
        </w:rPr>
        <w:t>תוך מאמר דעה שלם כשההתייחסות לתובע היתה אגב אחד מנ</w:t>
      </w:r>
      <w:r w:rsidR="00534389">
        <w:rPr>
          <w:rFonts w:ascii="David" w:hAnsi="David" w:cs="David"/>
          <w:sz w:val="24"/>
          <w:szCs w:val="24"/>
          <w:rtl/>
        </w:rPr>
        <w:t>ושאי המשנה במאמר. מכאן, טוען ה</w:t>
      </w:r>
      <w:r w:rsidR="00534389">
        <w:rPr>
          <w:rFonts w:ascii="David" w:hAnsi="David" w:cs="David" w:hint="cs"/>
          <w:sz w:val="24"/>
          <w:szCs w:val="24"/>
          <w:rtl/>
        </w:rPr>
        <w:t>נ</w:t>
      </w:r>
      <w:r w:rsidR="00534389">
        <w:rPr>
          <w:rFonts w:ascii="David" w:hAnsi="David" w:cs="David"/>
          <w:sz w:val="24"/>
          <w:szCs w:val="24"/>
          <w:rtl/>
        </w:rPr>
        <w:t>ת</w:t>
      </w:r>
      <w:r>
        <w:rPr>
          <w:rFonts w:ascii="David" w:hAnsi="David" w:cs="David"/>
          <w:sz w:val="24"/>
          <w:szCs w:val="24"/>
          <w:rtl/>
        </w:rPr>
        <w:t>בע להגנה שקמה לו. במלוא הכבוד, אין לקבל טענה זו ועל כך ארחיב בפסקאות הבאות.</w:t>
      </w:r>
    </w:p>
    <w:p w:rsidR="00E0607A" w:rsidRDefault="00E0607A" w:rsidP="00E0607A">
      <w:pPr>
        <w:pStyle w:val="ad"/>
        <w:spacing w:line="360" w:lineRule="auto"/>
        <w:ind w:left="1077"/>
        <w:jc w:val="both"/>
        <w:rPr>
          <w:rFonts w:ascii="David" w:hAnsi="David" w:cs="David"/>
          <w:sz w:val="24"/>
          <w:szCs w:val="24"/>
          <w:rtl/>
        </w:rPr>
      </w:pPr>
    </w:p>
    <w:p w:rsidR="00E0607A" w:rsidRDefault="00E0607A" w:rsidP="00A75828">
      <w:pPr>
        <w:pStyle w:val="ad"/>
        <w:numPr>
          <w:ilvl w:val="0"/>
          <w:numId w:val="16"/>
        </w:numPr>
        <w:spacing w:line="330" w:lineRule="atLeast"/>
        <w:ind w:hanging="544"/>
        <w:jc w:val="both"/>
        <w:rPr>
          <w:rFonts w:ascii="David" w:hAnsi="David" w:cs="David"/>
          <w:sz w:val="24"/>
          <w:szCs w:val="24"/>
          <w:rtl/>
        </w:rPr>
      </w:pPr>
      <w:r>
        <w:rPr>
          <w:rFonts w:ascii="David" w:hAnsi="David" w:cs="David"/>
          <w:sz w:val="24"/>
          <w:szCs w:val="24"/>
          <w:rtl/>
        </w:rPr>
        <w:t xml:space="preserve">הגנת "עיתונאות אחראית", מכח סעיף 15(2) לחוק איסור לשון הרע הוזכרה בעבר למשל במסגרת ע"א 9462/04, </w:t>
      </w:r>
      <w:r>
        <w:rPr>
          <w:rFonts w:ascii="David" w:hAnsi="David" w:cs="David"/>
          <w:color w:val="000000"/>
          <w:sz w:val="24"/>
          <w:szCs w:val="24"/>
          <w:u w:val="single"/>
          <w:rtl/>
        </w:rPr>
        <w:t>בן ציון מורדוב נ' ידיעות אחרונות בע"מ</w:t>
      </w:r>
      <w:r>
        <w:rPr>
          <w:rFonts w:ascii="David" w:hAnsi="David" w:cs="David"/>
          <w:color w:val="000000"/>
          <w:sz w:val="24"/>
          <w:szCs w:val="24"/>
          <w:rtl/>
        </w:rPr>
        <w:t>, (מיום 28/12/2005, הש' א' ריבלין, ס' ג'ובראן, א' חיות) וכן ר' 7380/06, </w:t>
      </w:r>
      <w:r>
        <w:rPr>
          <w:rFonts w:ascii="David" w:hAnsi="David" w:cs="David"/>
          <w:color w:val="000000"/>
          <w:sz w:val="24"/>
          <w:szCs w:val="24"/>
          <w:u w:val="single"/>
          <w:rtl/>
        </w:rPr>
        <w:t>דרור חטר-ישי נ' מרדכי גילת</w:t>
      </w:r>
      <w:r>
        <w:rPr>
          <w:rFonts w:ascii="David" w:hAnsi="David" w:cs="David"/>
          <w:color w:val="000000"/>
          <w:sz w:val="24"/>
          <w:szCs w:val="24"/>
          <w:rtl/>
        </w:rPr>
        <w:t xml:space="preserve">  (מיום 2/3/2011, הש' א' גרוניס, מ' נאור, ס' ג'ובראן). פסק הדין הממצה בעניין זה הוא דנ"א 2121/12, </w:t>
      </w:r>
      <w:r>
        <w:rPr>
          <w:rFonts w:ascii="David" w:hAnsi="David" w:cs="David"/>
          <w:color w:val="000000"/>
          <w:sz w:val="24"/>
          <w:szCs w:val="24"/>
          <w:u w:val="single"/>
          <w:rtl/>
        </w:rPr>
        <w:t>פלוני נ' ד"ר אילנה דיין אורבך</w:t>
      </w:r>
      <w:r>
        <w:rPr>
          <w:rFonts w:ascii="David" w:hAnsi="David" w:cs="David"/>
          <w:color w:val="000000"/>
          <w:sz w:val="24"/>
          <w:szCs w:val="24"/>
          <w:rtl/>
        </w:rPr>
        <w:t> </w:t>
      </w:r>
      <w:r>
        <w:rPr>
          <w:rFonts w:ascii="David" w:hAnsi="David" w:cs="David"/>
          <w:sz w:val="24"/>
          <w:szCs w:val="24"/>
          <w:rtl/>
        </w:rPr>
        <w:t>(מיום 18/9/2014, הנ' א' גרוניס, המ' לנ' הש' מ' נאור, והש' ע' ארבל, א' רובינשטיין, ס' ג'ובראן, י' דנציגר, נ' הנדל, ע' פוגלמן, י' עמית). להרחבה אף מעבר לפסק הדין בענין אילנה דיין, ר' למשל ע"א (מחוזי תל אביב) 69724-05-19, </w:t>
      </w:r>
      <w:r>
        <w:rPr>
          <w:rFonts w:ascii="David" w:hAnsi="David" w:cs="David"/>
          <w:sz w:val="24"/>
          <w:szCs w:val="24"/>
          <w:u w:val="single"/>
          <w:rtl/>
        </w:rPr>
        <w:t>הדס שטייף נ' נתן זהבי</w:t>
      </w:r>
      <w:r>
        <w:rPr>
          <w:rFonts w:ascii="David" w:hAnsi="David" w:cs="David"/>
          <w:sz w:val="24"/>
          <w:szCs w:val="24"/>
          <w:rtl/>
        </w:rPr>
        <w:t xml:space="preserve"> (מיום 30/6/2020)</w:t>
      </w:r>
      <w:r>
        <w:rPr>
          <w:rFonts w:ascii="David" w:hAnsi="David" w:cs="David"/>
          <w:b/>
          <w:bCs/>
          <w:sz w:val="24"/>
          <w:szCs w:val="24"/>
          <w:rtl/>
        </w:rPr>
        <w:t xml:space="preserve"> </w:t>
      </w:r>
      <w:r>
        <w:rPr>
          <w:rFonts w:ascii="David" w:hAnsi="David" w:cs="David"/>
          <w:sz w:val="24"/>
          <w:szCs w:val="24"/>
          <w:rtl/>
        </w:rPr>
        <w:t>וכן ע"א (מחוזי י-ם) 3386-10-19, </w:t>
      </w:r>
      <w:r>
        <w:rPr>
          <w:rFonts w:ascii="David" w:hAnsi="David" w:cs="David"/>
          <w:sz w:val="24"/>
          <w:szCs w:val="24"/>
          <w:u w:val="single"/>
          <w:rtl/>
        </w:rPr>
        <w:t>שרת התרבות והספורט - ח"כ מירי רגב נ' ערוץ 10 החדש בע"מ</w:t>
      </w:r>
      <w:r>
        <w:rPr>
          <w:rFonts w:ascii="David" w:hAnsi="David" w:cs="David"/>
          <w:sz w:val="24"/>
          <w:szCs w:val="24"/>
          <w:rtl/>
        </w:rPr>
        <w:t> (מיום 2/8/2020).</w:t>
      </w:r>
    </w:p>
    <w:p w:rsidR="00E0607A" w:rsidRDefault="00E0607A" w:rsidP="00E0607A">
      <w:pPr>
        <w:pStyle w:val="ad"/>
        <w:spacing w:line="330" w:lineRule="atLeast"/>
        <w:ind w:left="1080"/>
        <w:jc w:val="both"/>
        <w:rPr>
          <w:rFonts w:ascii="David" w:hAnsi="David" w:cs="David"/>
          <w:sz w:val="24"/>
          <w:szCs w:val="24"/>
          <w:rtl/>
        </w:rPr>
      </w:pPr>
    </w:p>
    <w:p w:rsidR="00E0607A" w:rsidRDefault="00E0607A" w:rsidP="009E741C">
      <w:pPr>
        <w:pStyle w:val="ad"/>
        <w:spacing w:line="330" w:lineRule="atLeast"/>
        <w:ind w:left="1080"/>
        <w:jc w:val="both"/>
        <w:rPr>
          <w:rFonts w:ascii="David" w:eastAsia="Times New Roman" w:hAnsi="David" w:cs="David"/>
          <w:b/>
          <w:bCs/>
          <w:color w:val="000000"/>
          <w:sz w:val="24"/>
          <w:szCs w:val="24"/>
          <w:rtl/>
        </w:rPr>
      </w:pPr>
      <w:r>
        <w:rPr>
          <w:rFonts w:ascii="David" w:hAnsi="David" w:cs="David"/>
          <w:sz w:val="24"/>
          <w:szCs w:val="24"/>
          <w:rtl/>
        </w:rPr>
        <w:t xml:space="preserve">בפסק הדין בענין אילנה דיין נקבע כך (הנ' א' גרוניס): </w:t>
      </w:r>
      <w:r>
        <w:rPr>
          <w:rFonts w:ascii="David" w:eastAsia="Times New Roman" w:hAnsi="David" w:cs="David"/>
          <w:b/>
          <w:bCs/>
          <w:color w:val="000000"/>
          <w:sz w:val="24"/>
          <w:szCs w:val="24"/>
          <w:rtl/>
        </w:rPr>
        <w:t>"הקריטריונים ל"עיתונאות אחראית" נלמדים במידה רבה מתוך סעיפים 17-16 לחוק ומתוך הנורמה הכללית שנקבעה בפסיקה ביחס למהות תום הלב הנדרש במסגרת סעיף 15(2) לחוק. למשל, חובותיו של המפרסם לאמת את העובדות טרם הפרסום ולהסתמך על מקורות מהימנים ורציניים, הן חלק מן האמצעים הסבירים שמצופה ממפרסם לנקוט טרם הפרסום כדי לוודא את אמיתותו. אם לא יעשה כן, עשויה לקום חזקה כי עשה את הפרסום שלא בתום לב, כאמור בהוראות סעיפים 16(ב)(1) ו-16(ב)(2) לחוק, הנוגעים לאמונת המפרסם באמיתות הפרסום ולאמצעים שנקט כדי להיווכח אם הוא אמת. כך גם באשר לחובתו לקבל את התייחסותו של הנפגע הפוטנציאלי מן הפרסום, הדרושה לא רק משיקולי הגינות אלא גם לשם ביסוס המידע".</w:t>
      </w:r>
    </w:p>
    <w:p w:rsidR="00E0607A" w:rsidRDefault="00E0607A" w:rsidP="00E0607A">
      <w:pPr>
        <w:pStyle w:val="ad"/>
        <w:spacing w:line="330" w:lineRule="atLeast"/>
        <w:ind w:left="1080"/>
        <w:jc w:val="both"/>
        <w:rPr>
          <w:rFonts w:ascii="David" w:eastAsia="Times New Roman" w:hAnsi="David" w:cs="David"/>
          <w:color w:val="000000"/>
          <w:sz w:val="24"/>
          <w:szCs w:val="24"/>
          <w:rtl/>
        </w:rPr>
      </w:pPr>
    </w:p>
    <w:p w:rsidR="00E0607A" w:rsidRDefault="00E0607A" w:rsidP="00E0607A">
      <w:pPr>
        <w:pStyle w:val="ad"/>
        <w:spacing w:line="330" w:lineRule="atLeast"/>
        <w:ind w:left="108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כלומר, על מנת ליהנות מהגנת "עיתונאות אחראית" יש לקיים שני תנאים מצטברים – </w:t>
      </w:r>
      <w:r>
        <w:rPr>
          <w:rFonts w:ascii="David" w:eastAsia="Times New Roman" w:hAnsi="David" w:cs="David"/>
          <w:b/>
          <w:bCs/>
          <w:color w:val="000000"/>
          <w:sz w:val="24"/>
          <w:szCs w:val="24"/>
          <w:u w:val="single"/>
          <w:rtl/>
        </w:rPr>
        <w:t>ראשית</w:t>
      </w:r>
      <w:r>
        <w:rPr>
          <w:rFonts w:ascii="David" w:eastAsia="Times New Roman" w:hAnsi="David" w:cs="David"/>
          <w:color w:val="000000"/>
          <w:sz w:val="24"/>
          <w:szCs w:val="24"/>
          <w:rtl/>
        </w:rPr>
        <w:t xml:space="preserve">, יש לתמוך </w:t>
      </w:r>
      <w:r>
        <w:rPr>
          <w:rFonts w:ascii="David" w:eastAsia="Times New Roman" w:hAnsi="David" w:cs="David"/>
          <w:b/>
          <w:bCs/>
          <w:color w:val="000000"/>
          <w:sz w:val="24"/>
          <w:szCs w:val="24"/>
          <w:rtl/>
        </w:rPr>
        <w:t> </w:t>
      </w:r>
      <w:r>
        <w:rPr>
          <w:rFonts w:ascii="David" w:eastAsia="Times New Roman" w:hAnsi="David" w:cs="David"/>
          <w:color w:val="000000"/>
          <w:sz w:val="24"/>
          <w:szCs w:val="24"/>
          <w:rtl/>
        </w:rPr>
        <w:t xml:space="preserve">את הפרסום בעובדות קיימות וחד משמעיות, דבר </w:t>
      </w:r>
      <w:r>
        <w:rPr>
          <w:rFonts w:ascii="David" w:eastAsia="Times New Roman" w:hAnsi="David" w:cs="David"/>
          <w:color w:val="000000"/>
          <w:sz w:val="24"/>
          <w:szCs w:val="24"/>
          <w:u w:val="single"/>
          <w:rtl/>
        </w:rPr>
        <w:t>שלא</w:t>
      </w:r>
      <w:r>
        <w:rPr>
          <w:rFonts w:ascii="David" w:eastAsia="Times New Roman" w:hAnsi="David" w:cs="David"/>
          <w:color w:val="000000"/>
          <w:sz w:val="24"/>
          <w:szCs w:val="24"/>
          <w:rtl/>
        </w:rPr>
        <w:t xml:space="preserve"> נעשה כדבעי בעניינינו. </w:t>
      </w:r>
      <w:r>
        <w:rPr>
          <w:rFonts w:ascii="David" w:eastAsia="Times New Roman" w:hAnsi="David" w:cs="David"/>
          <w:b/>
          <w:bCs/>
          <w:color w:val="000000"/>
          <w:sz w:val="24"/>
          <w:szCs w:val="24"/>
          <w:u w:val="single"/>
          <w:rtl/>
        </w:rPr>
        <w:t>שנית ובנוסף</w:t>
      </w:r>
      <w:r>
        <w:rPr>
          <w:rFonts w:ascii="David" w:eastAsia="Times New Roman" w:hAnsi="David" w:cs="David"/>
          <w:color w:val="000000"/>
          <w:sz w:val="24"/>
          <w:szCs w:val="24"/>
          <w:rtl/>
        </w:rPr>
        <w:t>, יש לקבל את התייחסות הנפגע, בעניינינו התייחסות התובעת. דבר</w:t>
      </w:r>
      <w:r>
        <w:rPr>
          <w:rFonts w:ascii="David" w:eastAsia="Times New Roman" w:hAnsi="David" w:cs="David"/>
          <w:color w:val="000000"/>
          <w:sz w:val="24"/>
          <w:szCs w:val="24"/>
          <w:u w:val="single"/>
          <w:rtl/>
        </w:rPr>
        <w:t xml:space="preserve"> שאין חולק על כך שלא בוצע</w:t>
      </w:r>
      <w:r>
        <w:rPr>
          <w:rFonts w:ascii="David" w:eastAsia="Times New Roman" w:hAnsi="David" w:cs="David"/>
          <w:color w:val="000000"/>
          <w:sz w:val="24"/>
          <w:szCs w:val="24"/>
          <w:rtl/>
        </w:rPr>
        <w:t>.  לעניין זה וביחס לפנייה לנפגע, קבע הנ' א' גרוניס כך -  "</w:t>
      </w:r>
      <w:r>
        <w:rPr>
          <w:rFonts w:ascii="David" w:eastAsia="Times New Roman" w:hAnsi="David" w:cs="David"/>
          <w:b/>
          <w:bCs/>
          <w:color w:val="000000"/>
          <w:sz w:val="24"/>
          <w:szCs w:val="24"/>
          <w:rtl/>
        </w:rPr>
        <w:t>לטעמי, אחת</w:t>
      </w:r>
      <w:r>
        <w:rPr>
          <w:rFonts w:ascii="David" w:eastAsia="Times New Roman" w:hAnsi="David" w:cs="David"/>
          <w:color w:val="000000"/>
          <w:sz w:val="24"/>
          <w:szCs w:val="24"/>
          <w:rtl/>
        </w:rPr>
        <w:t xml:space="preserve"> </w:t>
      </w:r>
      <w:r>
        <w:rPr>
          <w:rFonts w:ascii="David" w:eastAsia="Times New Roman" w:hAnsi="David" w:cs="David"/>
          <w:b/>
          <w:bCs/>
          <w:color w:val="000000"/>
          <w:sz w:val="24"/>
          <w:szCs w:val="24"/>
          <w:rtl/>
        </w:rPr>
        <w:t>האינדיקציות החשובות למילוי אמת המידה של עיתונאות אחראית היא פנייה מוקדמת של המפרסם למושא הפרסום ומתן הזדמנות סבירה והוגנת להגיב לפרסום". </w:t>
      </w:r>
    </w:p>
    <w:p w:rsidR="00E0607A" w:rsidRDefault="00E0607A" w:rsidP="00E0607A">
      <w:pPr>
        <w:pStyle w:val="ad"/>
        <w:spacing w:line="330" w:lineRule="atLeast"/>
        <w:ind w:left="1080"/>
        <w:jc w:val="both"/>
        <w:rPr>
          <w:rFonts w:ascii="David" w:hAnsi="David" w:cs="David"/>
          <w:sz w:val="24"/>
          <w:szCs w:val="24"/>
          <w:rtl/>
        </w:rPr>
      </w:pPr>
    </w:p>
    <w:p w:rsidR="00E0607A" w:rsidRDefault="00E0607A" w:rsidP="00167260">
      <w:pPr>
        <w:pStyle w:val="ad"/>
        <w:numPr>
          <w:ilvl w:val="0"/>
          <w:numId w:val="16"/>
        </w:numPr>
        <w:spacing w:line="330" w:lineRule="atLeast"/>
        <w:ind w:hanging="544"/>
        <w:jc w:val="both"/>
        <w:rPr>
          <w:rFonts w:ascii="David" w:hAnsi="David" w:cs="David"/>
          <w:sz w:val="24"/>
          <w:szCs w:val="24"/>
        </w:rPr>
      </w:pPr>
      <w:r>
        <w:rPr>
          <w:rFonts w:ascii="David" w:hAnsi="David" w:cs="David"/>
          <w:b/>
          <w:bCs/>
          <w:sz w:val="24"/>
          <w:szCs w:val="24"/>
          <w:u w:val="single"/>
          <w:rtl/>
        </w:rPr>
        <w:t xml:space="preserve">התייחסות </w:t>
      </w:r>
      <w:r w:rsidR="00167260">
        <w:rPr>
          <w:rFonts w:ascii="David" w:hAnsi="David" w:cs="David" w:hint="cs"/>
          <w:b/>
          <w:bCs/>
          <w:sz w:val="24"/>
          <w:szCs w:val="24"/>
          <w:u w:val="single"/>
          <w:rtl/>
        </w:rPr>
        <w:t xml:space="preserve">למען הזהירות </w:t>
      </w:r>
      <w:r>
        <w:rPr>
          <w:rFonts w:ascii="David" w:hAnsi="David" w:cs="David"/>
          <w:b/>
          <w:bCs/>
          <w:sz w:val="24"/>
          <w:szCs w:val="24"/>
          <w:u w:val="single"/>
          <w:rtl/>
        </w:rPr>
        <w:t>לפסק הדין החורג מההלכה</w:t>
      </w:r>
      <w:r w:rsidR="00167260">
        <w:rPr>
          <w:rFonts w:ascii="David" w:hAnsi="David" w:cs="David" w:hint="cs"/>
          <w:b/>
          <w:bCs/>
          <w:sz w:val="24"/>
          <w:szCs w:val="24"/>
          <w:u w:val="single"/>
          <w:rtl/>
        </w:rPr>
        <w:t xml:space="preserve"> הנוהגת - </w:t>
      </w:r>
      <w:r>
        <w:rPr>
          <w:rFonts w:ascii="David" w:hAnsi="David" w:cs="David"/>
          <w:b/>
          <w:bCs/>
          <w:sz w:val="24"/>
          <w:szCs w:val="24"/>
          <w:u w:val="single"/>
          <w:rtl/>
        </w:rPr>
        <w:t>בענין חננאל רחמים מגד דיין נגד יאיר לפיד</w:t>
      </w:r>
    </w:p>
    <w:p w:rsidR="00E0607A" w:rsidRDefault="00E0607A" w:rsidP="001C46E6">
      <w:pPr>
        <w:pStyle w:val="ad"/>
        <w:numPr>
          <w:ilvl w:val="0"/>
          <w:numId w:val="9"/>
        </w:numPr>
        <w:spacing w:line="330" w:lineRule="atLeast"/>
        <w:ind w:left="1387"/>
        <w:jc w:val="both"/>
        <w:rPr>
          <w:rFonts w:ascii="David" w:hAnsi="David" w:cs="David"/>
          <w:sz w:val="24"/>
          <w:szCs w:val="24"/>
        </w:rPr>
      </w:pPr>
      <w:r>
        <w:rPr>
          <w:rFonts w:ascii="David" w:hAnsi="David" w:cs="David"/>
          <w:sz w:val="24"/>
          <w:szCs w:val="24"/>
          <w:rtl/>
        </w:rPr>
        <w:t>מכל האמור לעיל עולה שלא התקיימו התנאים להגנת "עיתונאות אחראית" וממילא לא קמה לנתבע כל הגנה מפני הפרסום. עם זאת, הדיון בסוגיה זו לא יהיה מלא אם לא אתייחס לפס</w:t>
      </w:r>
      <w:r w:rsidR="001C46E6">
        <w:rPr>
          <w:rFonts w:ascii="David" w:hAnsi="David" w:cs="David" w:hint="cs"/>
          <w:sz w:val="24"/>
          <w:szCs w:val="24"/>
          <w:rtl/>
        </w:rPr>
        <w:t xml:space="preserve">ק הדין </w:t>
      </w:r>
      <w:r>
        <w:rPr>
          <w:rFonts w:ascii="David" w:hAnsi="David" w:cs="David"/>
          <w:sz w:val="24"/>
          <w:szCs w:val="24"/>
          <w:rtl/>
        </w:rPr>
        <w:t>ב</w:t>
      </w:r>
      <w:r>
        <w:rPr>
          <w:rFonts w:ascii="David" w:hAnsi="David" w:cs="David"/>
          <w:color w:val="000000"/>
          <w:sz w:val="24"/>
          <w:szCs w:val="24"/>
          <w:rtl/>
        </w:rPr>
        <w:t xml:space="preserve">ע"א (מחוזי י-ם) 3209/09, </w:t>
      </w:r>
      <w:r>
        <w:rPr>
          <w:rFonts w:ascii="David" w:hAnsi="David" w:cs="David"/>
          <w:color w:val="000000"/>
          <w:sz w:val="24"/>
          <w:szCs w:val="24"/>
          <w:u w:val="single"/>
          <w:rtl/>
        </w:rPr>
        <w:t>חננאל רחמים מגד דיין  נ' יאיר לפיד</w:t>
      </w:r>
      <w:r>
        <w:rPr>
          <w:rFonts w:ascii="David" w:hAnsi="David" w:cs="David"/>
          <w:sz w:val="24"/>
          <w:szCs w:val="24"/>
          <w:rtl/>
        </w:rPr>
        <w:t xml:space="preserve"> (מיום 26/10/2015, הש' מ' סובל) וכן רשות ערעור אזרחי שהוגשה בענין זה ונדחתה, במסגרת </w:t>
      </w:r>
      <w:r>
        <w:rPr>
          <w:rFonts w:ascii="David" w:hAnsi="David" w:cs="David"/>
          <w:color w:val="000000"/>
          <w:sz w:val="24"/>
          <w:szCs w:val="24"/>
          <w:rtl/>
        </w:rPr>
        <w:t xml:space="preserve">רע"א 1063/16, </w:t>
      </w:r>
      <w:r>
        <w:rPr>
          <w:rFonts w:ascii="David" w:hAnsi="David" w:cs="David"/>
          <w:color w:val="000000"/>
          <w:sz w:val="24"/>
          <w:szCs w:val="24"/>
          <w:u w:val="single"/>
          <w:rtl/>
        </w:rPr>
        <w:t>חננאל רחמים דיין מגד נ' יאיר לפיד</w:t>
      </w:r>
      <w:r>
        <w:rPr>
          <w:rFonts w:ascii="David" w:hAnsi="David" w:cs="David"/>
          <w:sz w:val="24"/>
          <w:szCs w:val="24"/>
          <w:rtl/>
        </w:rPr>
        <w:t xml:space="preserve"> (מיום 9/5/2016, הש' צ' זילברטל).</w:t>
      </w:r>
    </w:p>
    <w:p w:rsidR="00E0607A" w:rsidRDefault="00E0607A" w:rsidP="00E0607A">
      <w:pPr>
        <w:pStyle w:val="ad"/>
        <w:spacing w:line="330" w:lineRule="atLeast"/>
        <w:ind w:left="1080"/>
        <w:jc w:val="both"/>
        <w:rPr>
          <w:rFonts w:ascii="David" w:hAnsi="David" w:cs="David"/>
          <w:b/>
          <w:bCs/>
          <w:sz w:val="24"/>
          <w:szCs w:val="24"/>
          <w:u w:val="single"/>
        </w:rPr>
      </w:pPr>
    </w:p>
    <w:p w:rsidR="00E0607A" w:rsidRDefault="00E0607A" w:rsidP="004A20E3">
      <w:pPr>
        <w:pStyle w:val="ad"/>
        <w:numPr>
          <w:ilvl w:val="0"/>
          <w:numId w:val="9"/>
        </w:numPr>
        <w:spacing w:line="330" w:lineRule="atLeast"/>
        <w:ind w:left="1387"/>
        <w:jc w:val="both"/>
        <w:rPr>
          <w:rFonts w:ascii="David" w:hAnsi="David" w:cs="David"/>
          <w:sz w:val="24"/>
          <w:szCs w:val="24"/>
          <w:rtl/>
        </w:rPr>
      </w:pPr>
      <w:r>
        <w:rPr>
          <w:rFonts w:ascii="David" w:hAnsi="David" w:cs="David"/>
          <w:sz w:val="24"/>
          <w:szCs w:val="24"/>
          <w:rtl/>
        </w:rPr>
        <w:t>ב</w:t>
      </w:r>
      <w:r w:rsidR="001C46E6">
        <w:rPr>
          <w:rFonts w:ascii="David" w:hAnsi="David" w:cs="David" w:hint="cs"/>
          <w:sz w:val="24"/>
          <w:szCs w:val="24"/>
          <w:rtl/>
        </w:rPr>
        <w:t xml:space="preserve">ע"א 3209/09 </w:t>
      </w:r>
      <w:r>
        <w:rPr>
          <w:rFonts w:ascii="David" w:hAnsi="David" w:cs="David"/>
          <w:sz w:val="24"/>
          <w:szCs w:val="24"/>
          <w:rtl/>
        </w:rPr>
        <w:t>הנזכר לעיל</w:t>
      </w:r>
      <w:r w:rsidR="001C46E6">
        <w:rPr>
          <w:rFonts w:ascii="David" w:hAnsi="David" w:cs="David" w:hint="cs"/>
          <w:sz w:val="24"/>
          <w:szCs w:val="24"/>
          <w:rtl/>
        </w:rPr>
        <w:t>,</w:t>
      </w:r>
      <w:r>
        <w:rPr>
          <w:rFonts w:ascii="David" w:hAnsi="David" w:cs="David"/>
          <w:sz w:val="24"/>
          <w:szCs w:val="24"/>
          <w:rtl/>
        </w:rPr>
        <w:t xml:space="preserve"> נדון בבית המשפט המחוזי בירושלים ער</w:t>
      </w:r>
      <w:r w:rsidR="001C46E6">
        <w:rPr>
          <w:rFonts w:ascii="David" w:hAnsi="David" w:cs="David"/>
          <w:sz w:val="24"/>
          <w:szCs w:val="24"/>
          <w:rtl/>
        </w:rPr>
        <w:t>עור על פסק דין של בית משפט שלום</w:t>
      </w:r>
      <w:r w:rsidR="001C46E6">
        <w:rPr>
          <w:rFonts w:ascii="David" w:hAnsi="David" w:cs="David" w:hint="cs"/>
          <w:sz w:val="24"/>
          <w:szCs w:val="24"/>
          <w:rtl/>
        </w:rPr>
        <w:t xml:space="preserve"> בו</w:t>
      </w:r>
      <w:r>
        <w:rPr>
          <w:rFonts w:ascii="David" w:hAnsi="David" w:cs="David"/>
          <w:sz w:val="24"/>
          <w:szCs w:val="24"/>
          <w:rtl/>
        </w:rPr>
        <w:t xml:space="preserve"> </w:t>
      </w:r>
      <w:r>
        <w:rPr>
          <w:rFonts w:ascii="David" w:hAnsi="David" w:cs="David"/>
          <w:sz w:val="24"/>
          <w:szCs w:val="24"/>
          <w:u w:val="single"/>
          <w:rtl/>
        </w:rPr>
        <w:t>נדחתה</w:t>
      </w:r>
      <w:r>
        <w:rPr>
          <w:rFonts w:ascii="David" w:hAnsi="David" w:cs="David"/>
          <w:sz w:val="24"/>
          <w:szCs w:val="24"/>
          <w:rtl/>
        </w:rPr>
        <w:t xml:space="preserve"> תביעת לשון הרע כנגד יאיר לפיד, שנתבע כעיתונאי. במסגרת התביעה נטען שלפיד הוציא לשון הרע </w:t>
      </w:r>
      <w:r w:rsidR="001C46E6">
        <w:rPr>
          <w:rFonts w:ascii="David" w:hAnsi="David" w:cs="David" w:hint="cs"/>
          <w:sz w:val="24"/>
          <w:szCs w:val="24"/>
          <w:rtl/>
        </w:rPr>
        <w:t xml:space="preserve">במסגרת </w:t>
      </w:r>
      <w:r>
        <w:rPr>
          <w:rFonts w:ascii="David" w:hAnsi="David" w:cs="David"/>
          <w:sz w:val="24"/>
          <w:szCs w:val="24"/>
          <w:rtl/>
        </w:rPr>
        <w:t xml:space="preserve">מאמר עיתונאי </w:t>
      </w:r>
      <w:r w:rsidR="001C46E6">
        <w:rPr>
          <w:rFonts w:ascii="David" w:hAnsi="David" w:cs="David" w:hint="cs"/>
          <w:sz w:val="24"/>
          <w:szCs w:val="24"/>
          <w:rtl/>
        </w:rPr>
        <w:t xml:space="preserve">בו התייחס לכך </w:t>
      </w:r>
      <w:r>
        <w:rPr>
          <w:rFonts w:ascii="David" w:hAnsi="David" w:cs="David"/>
          <w:sz w:val="24"/>
          <w:szCs w:val="24"/>
          <w:rtl/>
        </w:rPr>
        <w:t>שהתובע</w:t>
      </w:r>
      <w:r w:rsidR="001C46E6">
        <w:rPr>
          <w:rFonts w:ascii="David" w:hAnsi="David" w:cs="David" w:hint="cs"/>
          <w:sz w:val="24"/>
          <w:szCs w:val="24"/>
          <w:rtl/>
        </w:rPr>
        <w:t xml:space="preserve"> נמנע </w:t>
      </w:r>
      <w:r>
        <w:rPr>
          <w:rFonts w:ascii="David" w:hAnsi="David" w:cs="David"/>
          <w:sz w:val="24"/>
          <w:szCs w:val="24"/>
          <w:rtl/>
        </w:rPr>
        <w:t xml:space="preserve">במפגיע </w:t>
      </w:r>
      <w:r w:rsidR="001C46E6">
        <w:rPr>
          <w:rFonts w:ascii="David" w:hAnsi="David" w:cs="David" w:hint="cs"/>
          <w:sz w:val="24"/>
          <w:szCs w:val="24"/>
          <w:rtl/>
        </w:rPr>
        <w:t>ו</w:t>
      </w:r>
      <w:r>
        <w:rPr>
          <w:rFonts w:ascii="David" w:hAnsi="David" w:cs="David"/>
          <w:sz w:val="24"/>
          <w:szCs w:val="24"/>
          <w:rtl/>
        </w:rPr>
        <w:t>לא לחץ את ידו של הרמטכ"ל</w:t>
      </w:r>
      <w:r w:rsidR="001C46E6">
        <w:rPr>
          <w:rFonts w:ascii="David" w:hAnsi="David" w:cs="David" w:hint="cs"/>
          <w:sz w:val="24"/>
          <w:szCs w:val="24"/>
          <w:rtl/>
        </w:rPr>
        <w:t xml:space="preserve"> במסגרת אירוע יום העצמאות בבית נשיא המדינה</w:t>
      </w:r>
      <w:r>
        <w:rPr>
          <w:rFonts w:ascii="David" w:hAnsi="David" w:cs="David"/>
          <w:sz w:val="24"/>
          <w:szCs w:val="24"/>
          <w:rtl/>
        </w:rPr>
        <w:t xml:space="preserve">. האירוע </w:t>
      </w:r>
      <w:r w:rsidR="004A20E3">
        <w:rPr>
          <w:rFonts w:ascii="David" w:hAnsi="David" w:cs="David" w:hint="cs"/>
          <w:sz w:val="24"/>
          <w:szCs w:val="24"/>
          <w:rtl/>
        </w:rPr>
        <w:t xml:space="preserve">התקיים </w:t>
      </w:r>
      <w:r>
        <w:rPr>
          <w:rFonts w:ascii="David" w:hAnsi="David" w:cs="David"/>
          <w:sz w:val="24"/>
          <w:szCs w:val="24"/>
          <w:rtl/>
        </w:rPr>
        <w:t>בשנת 2006, וכפי שפורט במאמר – התנהלות התובע נבעה מכך שבני משפחתו היו חלק מהאוכלוסיה שפונתה מגוש קטיף בתקופת ההתנתקות. במאמר אף נכתב ש"השכינה דיברה דרכו" של התובע ולכן זה נמנע מלחיצת ידו של הרמטכ"ל.</w:t>
      </w:r>
    </w:p>
    <w:p w:rsidR="00E0607A" w:rsidRDefault="00E0607A" w:rsidP="00E0607A">
      <w:pPr>
        <w:pStyle w:val="ad"/>
        <w:spacing w:line="330" w:lineRule="atLeast"/>
        <w:ind w:left="1080"/>
        <w:jc w:val="both"/>
        <w:rPr>
          <w:rFonts w:ascii="David" w:hAnsi="David" w:cs="David"/>
          <w:sz w:val="24"/>
          <w:szCs w:val="24"/>
          <w:rtl/>
        </w:rPr>
      </w:pPr>
    </w:p>
    <w:p w:rsidR="00E0607A" w:rsidRDefault="00E0607A" w:rsidP="00167260">
      <w:pPr>
        <w:pStyle w:val="ad"/>
        <w:numPr>
          <w:ilvl w:val="0"/>
          <w:numId w:val="9"/>
        </w:numPr>
        <w:spacing w:line="330" w:lineRule="atLeast"/>
        <w:ind w:left="1387"/>
        <w:jc w:val="both"/>
        <w:rPr>
          <w:rFonts w:ascii="David" w:hAnsi="David" w:cs="David"/>
          <w:sz w:val="24"/>
          <w:szCs w:val="24"/>
          <w:rtl/>
        </w:rPr>
      </w:pPr>
      <w:r>
        <w:rPr>
          <w:rFonts w:ascii="David" w:hAnsi="David" w:cs="David"/>
          <w:sz w:val="24"/>
          <w:szCs w:val="24"/>
          <w:rtl/>
        </w:rPr>
        <w:t xml:space="preserve">פסק הדין ברע"א 1063/16, </w:t>
      </w:r>
      <w:r>
        <w:rPr>
          <w:rFonts w:ascii="David" w:hAnsi="David" w:cs="David"/>
          <w:sz w:val="24"/>
          <w:szCs w:val="24"/>
          <w:u w:val="single"/>
          <w:rtl/>
        </w:rPr>
        <w:t>חננאל דיין מגד נגד לפיד</w:t>
      </w:r>
      <w:r>
        <w:rPr>
          <w:rFonts w:ascii="David" w:hAnsi="David" w:cs="David"/>
          <w:sz w:val="24"/>
          <w:szCs w:val="24"/>
          <w:rtl/>
        </w:rPr>
        <w:t xml:space="preserve"> ניתן מעט למעלה משנה לאחר פסק הדין ב</w:t>
      </w:r>
      <w:r>
        <w:rPr>
          <w:rFonts w:ascii="David" w:hAnsi="David" w:cs="David"/>
          <w:color w:val="000000"/>
          <w:sz w:val="24"/>
          <w:szCs w:val="24"/>
          <w:rtl/>
        </w:rPr>
        <w:t xml:space="preserve">דנ"א 2121/12, </w:t>
      </w:r>
      <w:r>
        <w:rPr>
          <w:rFonts w:ascii="David" w:hAnsi="David" w:cs="David"/>
          <w:color w:val="000000"/>
          <w:sz w:val="24"/>
          <w:szCs w:val="24"/>
          <w:u w:val="single"/>
          <w:rtl/>
        </w:rPr>
        <w:t>פלוני נ' ד"ר אילנה דיין אורבך</w:t>
      </w:r>
      <w:r>
        <w:rPr>
          <w:rFonts w:ascii="David" w:hAnsi="David" w:cs="David"/>
          <w:sz w:val="24"/>
          <w:szCs w:val="24"/>
          <w:rtl/>
        </w:rPr>
        <w:t xml:space="preserve">. </w:t>
      </w:r>
      <w:r w:rsidR="00A0193B">
        <w:rPr>
          <w:rFonts w:ascii="David" w:hAnsi="David" w:cs="David" w:hint="cs"/>
          <w:sz w:val="24"/>
          <w:szCs w:val="24"/>
          <w:rtl/>
        </w:rPr>
        <w:t>במסגר</w:t>
      </w:r>
      <w:r w:rsidR="00167260">
        <w:rPr>
          <w:rFonts w:ascii="David" w:hAnsi="David" w:cs="David" w:hint="cs"/>
          <w:sz w:val="24"/>
          <w:szCs w:val="24"/>
          <w:rtl/>
        </w:rPr>
        <w:t>ת</w:t>
      </w:r>
      <w:r w:rsidR="00A0193B">
        <w:rPr>
          <w:rFonts w:ascii="David" w:hAnsi="David" w:cs="David" w:hint="cs"/>
          <w:sz w:val="24"/>
          <w:szCs w:val="24"/>
          <w:rtl/>
        </w:rPr>
        <w:t xml:space="preserve"> פסק הדין </w:t>
      </w:r>
      <w:r w:rsidR="004A20E3">
        <w:rPr>
          <w:rFonts w:ascii="David" w:hAnsi="David" w:cs="David" w:hint="cs"/>
          <w:sz w:val="24"/>
          <w:szCs w:val="24"/>
          <w:rtl/>
        </w:rPr>
        <w:t xml:space="preserve">נדחתה </w:t>
      </w:r>
      <w:r>
        <w:rPr>
          <w:rFonts w:ascii="David" w:hAnsi="David" w:cs="David"/>
          <w:sz w:val="24"/>
          <w:szCs w:val="24"/>
          <w:rtl/>
        </w:rPr>
        <w:t>תביעת לשון הרע וזאת  למרות שהנתבע לא נהג בהתאם לכללי "הגנת העיתונאות האחראית", כפי שפורטו בפסק הדין בענין אילנה דיין.</w:t>
      </w:r>
    </w:p>
    <w:p w:rsidR="00E0607A" w:rsidRDefault="00E0607A" w:rsidP="00E0607A">
      <w:pPr>
        <w:pStyle w:val="ad"/>
        <w:rPr>
          <w:rFonts w:ascii="David" w:hAnsi="David" w:cs="David"/>
          <w:sz w:val="24"/>
          <w:szCs w:val="24"/>
        </w:rPr>
      </w:pPr>
    </w:p>
    <w:p w:rsidR="00E0607A" w:rsidRDefault="00A0193B" w:rsidP="00A0193B">
      <w:pPr>
        <w:pStyle w:val="ad"/>
        <w:numPr>
          <w:ilvl w:val="0"/>
          <w:numId w:val="9"/>
        </w:numPr>
        <w:spacing w:line="330" w:lineRule="atLeast"/>
        <w:ind w:left="1387"/>
        <w:jc w:val="both"/>
        <w:rPr>
          <w:rFonts w:ascii="David" w:hAnsi="David" w:cs="David"/>
          <w:sz w:val="24"/>
          <w:szCs w:val="24"/>
          <w:rtl/>
        </w:rPr>
      </w:pPr>
      <w:r>
        <w:rPr>
          <w:rFonts w:ascii="David" w:hAnsi="David" w:cs="David" w:hint="cs"/>
          <w:sz w:val="24"/>
          <w:szCs w:val="24"/>
          <w:rtl/>
        </w:rPr>
        <w:t xml:space="preserve">למען הזהירות אתייחס ואאבחן את </w:t>
      </w:r>
      <w:r w:rsidR="00E0607A">
        <w:rPr>
          <w:rFonts w:ascii="David" w:hAnsi="David" w:cs="David"/>
          <w:sz w:val="24"/>
          <w:szCs w:val="24"/>
          <w:rtl/>
        </w:rPr>
        <w:t xml:space="preserve">פסק הדין ברע"א 1063/16, </w:t>
      </w:r>
      <w:r w:rsidR="00E0607A">
        <w:rPr>
          <w:rFonts w:ascii="David" w:hAnsi="David" w:cs="David"/>
          <w:sz w:val="24"/>
          <w:szCs w:val="24"/>
          <w:u w:val="single"/>
          <w:rtl/>
        </w:rPr>
        <w:t>חננאל דיין מגד נגד לפיד</w:t>
      </w:r>
      <w:r w:rsidR="00E0607A">
        <w:rPr>
          <w:rFonts w:ascii="David" w:hAnsi="David" w:cs="David"/>
          <w:sz w:val="24"/>
          <w:szCs w:val="24"/>
          <w:rtl/>
        </w:rPr>
        <w:t>,</w:t>
      </w:r>
      <w:r>
        <w:rPr>
          <w:rFonts w:ascii="David" w:hAnsi="David" w:cs="David" w:hint="cs"/>
          <w:sz w:val="24"/>
          <w:szCs w:val="24"/>
          <w:rtl/>
        </w:rPr>
        <w:t xml:space="preserve"> תוך הפנייה </w:t>
      </w:r>
      <w:r w:rsidR="00E0607A">
        <w:rPr>
          <w:rFonts w:ascii="David" w:hAnsi="David" w:cs="David"/>
          <w:sz w:val="24"/>
          <w:szCs w:val="24"/>
          <w:rtl/>
        </w:rPr>
        <w:t>לדברים הבאים:</w:t>
      </w:r>
    </w:p>
    <w:p w:rsidR="00E0607A" w:rsidRDefault="00E0607A" w:rsidP="00E0607A">
      <w:pPr>
        <w:pStyle w:val="ad"/>
        <w:rPr>
          <w:rFonts w:ascii="David" w:hAnsi="David" w:cs="David"/>
          <w:sz w:val="24"/>
          <w:szCs w:val="24"/>
        </w:rPr>
      </w:pPr>
    </w:p>
    <w:p w:rsidR="00E0607A" w:rsidRDefault="00E0607A" w:rsidP="00167260">
      <w:pPr>
        <w:pStyle w:val="ad"/>
        <w:spacing w:line="330" w:lineRule="atLeast"/>
        <w:ind w:left="1812"/>
        <w:jc w:val="both"/>
        <w:rPr>
          <w:rFonts w:ascii="David" w:hAnsi="David" w:cs="David"/>
          <w:sz w:val="24"/>
          <w:szCs w:val="24"/>
          <w:rtl/>
        </w:rPr>
      </w:pPr>
      <w:r>
        <w:rPr>
          <w:rFonts w:ascii="David" w:hAnsi="David" w:cs="David"/>
          <w:b/>
          <w:bCs/>
          <w:sz w:val="24"/>
          <w:szCs w:val="24"/>
          <w:u w:val="single"/>
          <w:rtl/>
        </w:rPr>
        <w:t>ראשית</w:t>
      </w:r>
      <w:r>
        <w:rPr>
          <w:rFonts w:ascii="David" w:hAnsi="David" w:cs="David"/>
          <w:sz w:val="24"/>
          <w:szCs w:val="24"/>
          <w:rtl/>
        </w:rPr>
        <w:t xml:space="preserve">, פסק הדין ברע"א 1063/16, </w:t>
      </w:r>
      <w:r>
        <w:rPr>
          <w:rFonts w:ascii="David" w:hAnsi="David" w:cs="David"/>
          <w:sz w:val="24"/>
          <w:szCs w:val="24"/>
          <w:u w:val="single"/>
          <w:rtl/>
        </w:rPr>
        <w:t>חננאל דיין מגד נגד לפיד</w:t>
      </w:r>
      <w:r>
        <w:rPr>
          <w:rFonts w:ascii="David" w:hAnsi="David" w:cs="David"/>
          <w:sz w:val="24"/>
          <w:szCs w:val="24"/>
          <w:rtl/>
        </w:rPr>
        <w:t>, הוא פסק דין של בית משפט מחוזי. כוחו יפה כתקדים מנחה והוא פחות מכוחו של תקדים מחייב, כפסק הדין של בית המשפט העליון ב</w:t>
      </w:r>
      <w:r>
        <w:rPr>
          <w:rFonts w:ascii="David" w:hAnsi="David" w:cs="David"/>
          <w:color w:val="000000"/>
          <w:sz w:val="24"/>
          <w:szCs w:val="24"/>
          <w:rtl/>
        </w:rPr>
        <w:t xml:space="preserve">דנ"א 2121/12, </w:t>
      </w:r>
      <w:r>
        <w:rPr>
          <w:rFonts w:ascii="David" w:hAnsi="David" w:cs="David"/>
          <w:color w:val="000000"/>
          <w:sz w:val="24"/>
          <w:szCs w:val="24"/>
          <w:u w:val="single"/>
          <w:rtl/>
        </w:rPr>
        <w:t>פלוני נ' ד"ר אילנה דיין אורבך</w:t>
      </w:r>
      <w:r>
        <w:rPr>
          <w:rFonts w:ascii="David" w:hAnsi="David" w:cs="David"/>
          <w:color w:val="000000"/>
          <w:sz w:val="24"/>
          <w:szCs w:val="24"/>
          <w:rtl/>
        </w:rPr>
        <w:t>.</w:t>
      </w:r>
    </w:p>
    <w:p w:rsidR="00E0607A" w:rsidRDefault="00E0607A" w:rsidP="00E0607A">
      <w:pPr>
        <w:pStyle w:val="ad"/>
        <w:spacing w:line="330" w:lineRule="atLeast"/>
        <w:ind w:left="1812"/>
        <w:jc w:val="both"/>
        <w:rPr>
          <w:rFonts w:ascii="David" w:hAnsi="David" w:cs="David"/>
          <w:sz w:val="24"/>
          <w:szCs w:val="24"/>
          <w:rtl/>
        </w:rPr>
      </w:pPr>
    </w:p>
    <w:p w:rsidR="00E0607A" w:rsidRDefault="00E0607A" w:rsidP="00E0607A">
      <w:pPr>
        <w:pStyle w:val="ad"/>
        <w:spacing w:line="330" w:lineRule="atLeast"/>
        <w:ind w:left="1812"/>
        <w:jc w:val="both"/>
        <w:rPr>
          <w:rFonts w:ascii="David" w:hAnsi="David" w:cs="David"/>
          <w:sz w:val="24"/>
          <w:szCs w:val="24"/>
          <w:rtl/>
        </w:rPr>
      </w:pPr>
      <w:r>
        <w:rPr>
          <w:rFonts w:ascii="David" w:hAnsi="David" w:cs="David"/>
          <w:b/>
          <w:bCs/>
          <w:sz w:val="24"/>
          <w:szCs w:val="24"/>
          <w:u w:val="single"/>
          <w:rtl/>
        </w:rPr>
        <w:t>שנית</w:t>
      </w:r>
      <w:r>
        <w:rPr>
          <w:rFonts w:ascii="David" w:hAnsi="David" w:cs="David"/>
          <w:sz w:val="24"/>
          <w:szCs w:val="24"/>
          <w:rtl/>
        </w:rPr>
        <w:t>, ריבוי פסקי הדין אשר אימצו את ההלכה ב</w:t>
      </w:r>
      <w:r>
        <w:rPr>
          <w:rFonts w:ascii="David" w:hAnsi="David" w:cs="David"/>
          <w:color w:val="000000"/>
          <w:sz w:val="24"/>
          <w:szCs w:val="24"/>
          <w:rtl/>
        </w:rPr>
        <w:t xml:space="preserve">דנ"א 2121/12, </w:t>
      </w:r>
      <w:r>
        <w:rPr>
          <w:rFonts w:ascii="David" w:hAnsi="David" w:cs="David"/>
          <w:color w:val="000000"/>
          <w:sz w:val="24"/>
          <w:szCs w:val="24"/>
          <w:u w:val="single"/>
          <w:rtl/>
        </w:rPr>
        <w:t>פלוני נ' ד"ר אילנה דיין אורבך</w:t>
      </w:r>
      <w:r>
        <w:rPr>
          <w:rFonts w:ascii="David" w:hAnsi="David" w:cs="David"/>
          <w:color w:val="000000"/>
          <w:sz w:val="24"/>
          <w:szCs w:val="24"/>
          <w:rtl/>
        </w:rPr>
        <w:t xml:space="preserve">, </w:t>
      </w:r>
      <w:r>
        <w:rPr>
          <w:rFonts w:ascii="David" w:hAnsi="David" w:cs="David"/>
          <w:sz w:val="24"/>
          <w:szCs w:val="24"/>
          <w:rtl/>
        </w:rPr>
        <w:t xml:space="preserve">אף הם הופכים את פסק הדין ברע"א 1063/16, </w:t>
      </w:r>
      <w:r>
        <w:rPr>
          <w:rFonts w:ascii="David" w:hAnsi="David" w:cs="David"/>
          <w:sz w:val="24"/>
          <w:szCs w:val="24"/>
          <w:u w:val="single"/>
          <w:rtl/>
        </w:rPr>
        <w:t>חננאל דיין מגד נגד לפיד</w:t>
      </w:r>
      <w:r w:rsidR="00167260">
        <w:rPr>
          <w:rFonts w:ascii="David" w:hAnsi="David" w:cs="David"/>
          <w:sz w:val="24"/>
          <w:szCs w:val="24"/>
          <w:rtl/>
        </w:rPr>
        <w:t xml:space="preserve"> </w:t>
      </w:r>
      <w:r w:rsidR="00167260">
        <w:rPr>
          <w:rFonts w:ascii="David" w:hAnsi="David" w:cs="David" w:hint="cs"/>
          <w:sz w:val="24"/>
          <w:szCs w:val="24"/>
          <w:rtl/>
        </w:rPr>
        <w:t>ל</w:t>
      </w:r>
      <w:r>
        <w:rPr>
          <w:rFonts w:ascii="David" w:hAnsi="David" w:cs="David"/>
          <w:sz w:val="24"/>
          <w:szCs w:val="24"/>
          <w:rtl/>
        </w:rPr>
        <w:t>חריג המצביע על הכלל.</w:t>
      </w:r>
    </w:p>
    <w:p w:rsidR="00E0607A" w:rsidRDefault="00E0607A" w:rsidP="00E0607A">
      <w:pPr>
        <w:pStyle w:val="ad"/>
        <w:spacing w:line="330" w:lineRule="atLeast"/>
        <w:ind w:left="1812"/>
        <w:jc w:val="both"/>
        <w:rPr>
          <w:rFonts w:ascii="David" w:hAnsi="David" w:cs="David"/>
          <w:sz w:val="24"/>
          <w:szCs w:val="24"/>
          <w:rtl/>
        </w:rPr>
      </w:pPr>
    </w:p>
    <w:p w:rsidR="00E0607A" w:rsidRDefault="00E0607A" w:rsidP="00E0607A">
      <w:pPr>
        <w:pStyle w:val="ad"/>
        <w:spacing w:line="330" w:lineRule="atLeast"/>
        <w:ind w:left="1812"/>
        <w:jc w:val="both"/>
        <w:rPr>
          <w:rFonts w:ascii="David" w:hAnsi="David" w:cs="David"/>
          <w:sz w:val="24"/>
          <w:szCs w:val="24"/>
          <w:rtl/>
        </w:rPr>
      </w:pPr>
      <w:r>
        <w:rPr>
          <w:rFonts w:ascii="David" w:hAnsi="David" w:cs="David"/>
          <w:b/>
          <w:bCs/>
          <w:sz w:val="24"/>
          <w:szCs w:val="24"/>
          <w:u w:val="single"/>
          <w:rtl/>
        </w:rPr>
        <w:t>שלישית</w:t>
      </w:r>
      <w:r>
        <w:rPr>
          <w:rFonts w:ascii="David" w:hAnsi="David" w:cs="David"/>
          <w:sz w:val="24"/>
          <w:szCs w:val="24"/>
          <w:rtl/>
        </w:rPr>
        <w:t>, במלוא הכבוד, נראה שאף ע</w:t>
      </w:r>
      <w:r w:rsidR="00167260">
        <w:rPr>
          <w:rFonts w:ascii="David" w:hAnsi="David" w:cs="David" w:hint="cs"/>
          <w:sz w:val="24"/>
          <w:szCs w:val="24"/>
          <w:rtl/>
        </w:rPr>
        <w:t>ו</w:t>
      </w:r>
      <w:r>
        <w:rPr>
          <w:rFonts w:ascii="David" w:hAnsi="David" w:cs="David"/>
          <w:sz w:val="24"/>
          <w:szCs w:val="24"/>
          <w:rtl/>
        </w:rPr>
        <w:t xml:space="preserve">צמת לשון הרע שונה בעליל בין עניינינו לבין רע"א 1063/16, </w:t>
      </w:r>
      <w:r>
        <w:rPr>
          <w:rFonts w:ascii="David" w:hAnsi="David" w:cs="David"/>
          <w:sz w:val="24"/>
          <w:szCs w:val="24"/>
          <w:u w:val="single"/>
          <w:rtl/>
        </w:rPr>
        <w:t>חננאל דיין מגד נגד לפיד</w:t>
      </w:r>
      <w:r>
        <w:rPr>
          <w:rFonts w:ascii="David" w:hAnsi="David" w:cs="David"/>
          <w:sz w:val="24"/>
          <w:szCs w:val="24"/>
          <w:rtl/>
        </w:rPr>
        <w:t>. ודוק, אין דין ביקורת על חייל שנמנע מללחוץ ידו של הרמטכ"ל כדיון אמירה המאשימה ועלולה לייחס לתובע אחריות למותם של ארבעים וחמישה נספים באסון.</w:t>
      </w:r>
    </w:p>
    <w:p w:rsidR="00E0607A" w:rsidRDefault="00E0607A" w:rsidP="00E0607A">
      <w:pPr>
        <w:pStyle w:val="ad"/>
        <w:spacing w:line="330" w:lineRule="atLeast"/>
        <w:ind w:left="1812"/>
        <w:jc w:val="both"/>
        <w:rPr>
          <w:rFonts w:ascii="David" w:hAnsi="David" w:cs="David"/>
          <w:sz w:val="24"/>
          <w:szCs w:val="24"/>
          <w:rtl/>
        </w:rPr>
      </w:pPr>
    </w:p>
    <w:p w:rsidR="00E0607A" w:rsidRDefault="00E0607A" w:rsidP="00E0607A">
      <w:pPr>
        <w:pStyle w:val="ad"/>
        <w:spacing w:line="330" w:lineRule="atLeast"/>
        <w:ind w:left="1387"/>
        <w:jc w:val="both"/>
        <w:rPr>
          <w:rFonts w:ascii="David" w:hAnsi="David" w:cs="David"/>
          <w:sz w:val="24"/>
          <w:szCs w:val="24"/>
          <w:rtl/>
        </w:rPr>
      </w:pPr>
      <w:r>
        <w:rPr>
          <w:rFonts w:ascii="David" w:hAnsi="David" w:cs="David"/>
          <w:sz w:val="24"/>
          <w:szCs w:val="24"/>
          <w:rtl/>
        </w:rPr>
        <w:t xml:space="preserve">להרחבה ביחס לאבחון פסק הדין ברע"א 1063/16, </w:t>
      </w:r>
      <w:r>
        <w:rPr>
          <w:rFonts w:ascii="David" w:hAnsi="David" w:cs="David"/>
          <w:sz w:val="24"/>
          <w:szCs w:val="24"/>
          <w:u w:val="single"/>
          <w:rtl/>
        </w:rPr>
        <w:t>חננאל דיין מגד נגד לפיד</w:t>
      </w:r>
      <w:r>
        <w:rPr>
          <w:rFonts w:ascii="David" w:hAnsi="David" w:cs="David"/>
          <w:sz w:val="24"/>
          <w:szCs w:val="24"/>
          <w:rtl/>
        </w:rPr>
        <w:t xml:space="preserve">, ר' גם </w:t>
      </w:r>
      <w:r>
        <w:rPr>
          <w:rFonts w:ascii="David" w:hAnsi="David" w:cs="David"/>
          <w:color w:val="000000"/>
          <w:sz w:val="24"/>
          <w:szCs w:val="24"/>
          <w:rtl/>
        </w:rPr>
        <w:t xml:space="preserve">ע"א (מחוזי מרכז) 38795-07-22‏, </w:t>
      </w:r>
      <w:r>
        <w:rPr>
          <w:rFonts w:ascii="David" w:hAnsi="David" w:cs="David"/>
          <w:color w:val="000000"/>
          <w:sz w:val="24"/>
          <w:szCs w:val="24"/>
          <w:u w:val="single"/>
          <w:rtl/>
        </w:rPr>
        <w:t>בני קצובר נ' עיתון ידיעות אחרונות בע"מ</w:t>
      </w:r>
      <w:r>
        <w:rPr>
          <w:rFonts w:ascii="David" w:hAnsi="David" w:cs="David"/>
          <w:sz w:val="24"/>
          <w:szCs w:val="24"/>
          <w:rtl/>
        </w:rPr>
        <w:t xml:space="preserve"> (מיום 31/1/2023, השופטת ש' גלר). בקשת רשות ערעור על פסק דין זה נדחתה במסגרת רע"א 2543/23, </w:t>
      </w:r>
      <w:r>
        <w:rPr>
          <w:rFonts w:ascii="David" w:hAnsi="David" w:cs="David"/>
          <w:sz w:val="24"/>
          <w:szCs w:val="24"/>
          <w:u w:val="single"/>
          <w:rtl/>
        </w:rPr>
        <w:t>בני קצובר נגד עיתון ידיעות אחרונות בע"מ</w:t>
      </w:r>
      <w:r>
        <w:rPr>
          <w:rFonts w:ascii="David" w:hAnsi="David" w:cs="David"/>
          <w:sz w:val="24"/>
          <w:szCs w:val="24"/>
          <w:rtl/>
        </w:rPr>
        <w:t xml:space="preserve"> (מיום 28/6/2023, הש' י' כשר).</w:t>
      </w:r>
    </w:p>
    <w:p w:rsidR="00E0607A" w:rsidRDefault="00E0607A" w:rsidP="00E0607A">
      <w:pPr>
        <w:pStyle w:val="ad"/>
        <w:spacing w:line="360" w:lineRule="auto"/>
        <w:ind w:left="755"/>
        <w:jc w:val="both"/>
        <w:rPr>
          <w:rFonts w:ascii="David" w:hAnsi="David" w:cs="David"/>
          <w:sz w:val="24"/>
          <w:szCs w:val="24"/>
          <w:rtl/>
        </w:rPr>
      </w:pPr>
    </w:p>
    <w:p w:rsidR="00E0607A" w:rsidRDefault="00E0607A" w:rsidP="00E0607A">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 xml:space="preserve">לנתבע </w:t>
      </w:r>
      <w:r w:rsidR="00167260">
        <w:rPr>
          <w:rFonts w:ascii="David" w:hAnsi="David" w:cs="David" w:hint="cs"/>
          <w:b/>
          <w:bCs/>
          <w:sz w:val="24"/>
          <w:szCs w:val="24"/>
          <w:u w:val="single"/>
          <w:rtl/>
        </w:rPr>
        <w:t xml:space="preserve">גם </w:t>
      </w:r>
      <w:r>
        <w:rPr>
          <w:rFonts w:ascii="David" w:hAnsi="David" w:cs="David"/>
          <w:b/>
          <w:bCs/>
          <w:sz w:val="24"/>
          <w:szCs w:val="24"/>
          <w:u w:val="single"/>
          <w:rtl/>
        </w:rPr>
        <w:t>לא קמה הגנת "אמת דיברתי"</w:t>
      </w:r>
    </w:p>
    <w:p w:rsidR="00E0607A" w:rsidRDefault="00E0607A" w:rsidP="00E0607A">
      <w:pPr>
        <w:pStyle w:val="ad"/>
        <w:spacing w:line="360" w:lineRule="auto"/>
        <w:ind w:left="395"/>
        <w:jc w:val="both"/>
        <w:rPr>
          <w:rFonts w:ascii="David" w:hAnsi="David" w:cs="David"/>
          <w:sz w:val="24"/>
          <w:szCs w:val="24"/>
        </w:rPr>
      </w:pPr>
      <w:r>
        <w:rPr>
          <w:rFonts w:ascii="David" w:hAnsi="David" w:cs="David"/>
          <w:sz w:val="24"/>
          <w:szCs w:val="24"/>
          <w:rtl/>
        </w:rPr>
        <w:t>לתובע לא קמה הגנת "אמת דיברתי" וזאת בשל הנימוקים הבאים:</w:t>
      </w:r>
    </w:p>
    <w:p w:rsidR="00E0607A" w:rsidRDefault="00E0607A" w:rsidP="00E0607A">
      <w:pPr>
        <w:pStyle w:val="ad"/>
        <w:spacing w:line="360" w:lineRule="auto"/>
        <w:ind w:left="395"/>
        <w:jc w:val="both"/>
        <w:rPr>
          <w:rFonts w:ascii="David" w:hAnsi="David" w:cs="David"/>
          <w:sz w:val="24"/>
          <w:szCs w:val="24"/>
          <w:rtl/>
        </w:rPr>
      </w:pPr>
    </w:p>
    <w:p w:rsidR="00167260" w:rsidRDefault="00167260" w:rsidP="00E0607A">
      <w:pPr>
        <w:pStyle w:val="ad"/>
        <w:spacing w:line="360" w:lineRule="auto"/>
        <w:ind w:left="395"/>
        <w:jc w:val="both"/>
        <w:rPr>
          <w:rFonts w:ascii="David" w:hAnsi="David" w:cs="David"/>
          <w:sz w:val="24"/>
          <w:szCs w:val="24"/>
          <w:rtl/>
        </w:rPr>
      </w:pPr>
    </w:p>
    <w:p w:rsidR="00E0607A" w:rsidRDefault="00167260" w:rsidP="00167260">
      <w:pPr>
        <w:pStyle w:val="ad"/>
        <w:numPr>
          <w:ilvl w:val="0"/>
          <w:numId w:val="17"/>
        </w:numPr>
        <w:spacing w:line="360" w:lineRule="auto"/>
        <w:ind w:left="962" w:hanging="567"/>
        <w:jc w:val="both"/>
        <w:rPr>
          <w:rFonts w:ascii="David" w:hAnsi="David" w:cs="David"/>
          <w:sz w:val="24"/>
          <w:szCs w:val="24"/>
        </w:rPr>
      </w:pPr>
      <w:r>
        <w:rPr>
          <w:rFonts w:ascii="David" w:hAnsi="David" w:cs="David" w:hint="cs"/>
          <w:b/>
          <w:bCs/>
          <w:sz w:val="24"/>
          <w:szCs w:val="24"/>
          <w:u w:val="single"/>
          <w:rtl/>
        </w:rPr>
        <w:lastRenderedPageBreak/>
        <w:t>נימוק ראשון משניים מדוע לא קמה לנתבע הגנת "אמת דיברתי"</w:t>
      </w:r>
      <w:r w:rsidR="00E0607A">
        <w:rPr>
          <w:rFonts w:ascii="David" w:hAnsi="David" w:cs="David"/>
          <w:b/>
          <w:bCs/>
          <w:sz w:val="24"/>
          <w:szCs w:val="24"/>
          <w:u w:val="single"/>
          <w:rtl/>
        </w:rPr>
        <w:t xml:space="preserve"> – בפועל לא נכלל התובע בין מקבלי מכתבי האזהרה מועדת החקירה</w:t>
      </w:r>
    </w:p>
    <w:p w:rsidR="00E0607A" w:rsidRDefault="00E0607A" w:rsidP="00167260">
      <w:pPr>
        <w:pStyle w:val="ad"/>
        <w:numPr>
          <w:ilvl w:val="0"/>
          <w:numId w:val="9"/>
        </w:numPr>
        <w:spacing w:line="360" w:lineRule="auto"/>
        <w:ind w:left="1387"/>
        <w:jc w:val="both"/>
        <w:rPr>
          <w:rFonts w:ascii="David" w:hAnsi="David" w:cs="David"/>
          <w:sz w:val="24"/>
          <w:szCs w:val="24"/>
        </w:rPr>
      </w:pPr>
      <w:r>
        <w:rPr>
          <w:rFonts w:ascii="David" w:hAnsi="David" w:cs="David"/>
          <w:sz w:val="24"/>
          <w:szCs w:val="24"/>
          <w:rtl/>
        </w:rPr>
        <w:t>ועדת החקירה הוציאה תחת ידיה, לאחר הפרסומים, מכתבי אזהרה לשורה ארוכה של</w:t>
      </w:r>
      <w:r w:rsidR="00167260">
        <w:rPr>
          <w:rFonts w:ascii="David" w:hAnsi="David" w:cs="David" w:hint="cs"/>
          <w:sz w:val="24"/>
          <w:szCs w:val="24"/>
          <w:rtl/>
        </w:rPr>
        <w:t xml:space="preserve"> אישים</w:t>
      </w:r>
      <w:r>
        <w:rPr>
          <w:rFonts w:ascii="David" w:hAnsi="David" w:cs="David"/>
          <w:sz w:val="24"/>
          <w:szCs w:val="24"/>
          <w:rtl/>
        </w:rPr>
        <w:t xml:space="preserve"> שהעידו בפניה. התובע </w:t>
      </w:r>
      <w:r>
        <w:rPr>
          <w:rFonts w:ascii="David" w:hAnsi="David" w:cs="David"/>
          <w:sz w:val="24"/>
          <w:szCs w:val="24"/>
          <w:u w:val="single"/>
          <w:rtl/>
        </w:rPr>
        <w:t>לא</w:t>
      </w:r>
      <w:r w:rsidR="002D75AF">
        <w:rPr>
          <w:rFonts w:ascii="David" w:hAnsi="David" w:cs="David"/>
          <w:sz w:val="24"/>
          <w:szCs w:val="24"/>
          <w:rtl/>
        </w:rPr>
        <w:t xml:space="preserve"> </w:t>
      </w:r>
      <w:r w:rsidR="002D75AF">
        <w:rPr>
          <w:rFonts w:ascii="David" w:hAnsi="David" w:cs="David" w:hint="cs"/>
          <w:sz w:val="24"/>
          <w:szCs w:val="24"/>
          <w:rtl/>
        </w:rPr>
        <w:t>נכלל</w:t>
      </w:r>
      <w:r>
        <w:rPr>
          <w:rFonts w:ascii="David" w:hAnsi="David" w:cs="David"/>
          <w:sz w:val="24"/>
          <w:szCs w:val="24"/>
          <w:rtl/>
        </w:rPr>
        <w:t xml:space="preserve"> בין אלה שהוצא</w:t>
      </w:r>
      <w:r w:rsidR="002D75AF">
        <w:rPr>
          <w:rFonts w:ascii="David" w:hAnsi="David" w:cs="David" w:hint="cs"/>
          <w:sz w:val="24"/>
          <w:szCs w:val="24"/>
          <w:rtl/>
        </w:rPr>
        <w:t>ו</w:t>
      </w:r>
      <w:r>
        <w:rPr>
          <w:rFonts w:ascii="David" w:hAnsi="David" w:cs="David"/>
          <w:sz w:val="24"/>
          <w:szCs w:val="24"/>
          <w:rtl/>
        </w:rPr>
        <w:t xml:space="preserve"> ל</w:t>
      </w:r>
      <w:r w:rsidR="00167260">
        <w:rPr>
          <w:rFonts w:ascii="David" w:hAnsi="David" w:cs="David" w:hint="cs"/>
          <w:sz w:val="24"/>
          <w:szCs w:val="24"/>
          <w:rtl/>
        </w:rPr>
        <w:t>הם</w:t>
      </w:r>
      <w:r>
        <w:rPr>
          <w:rFonts w:ascii="David" w:hAnsi="David" w:cs="David"/>
          <w:sz w:val="24"/>
          <w:szCs w:val="24"/>
          <w:rtl/>
        </w:rPr>
        <w:t xml:space="preserve"> מכתב</w:t>
      </w:r>
      <w:r w:rsidR="002D75AF">
        <w:rPr>
          <w:rFonts w:ascii="David" w:hAnsi="David" w:cs="David" w:hint="cs"/>
          <w:sz w:val="24"/>
          <w:szCs w:val="24"/>
          <w:rtl/>
        </w:rPr>
        <w:t>י</w:t>
      </w:r>
      <w:r>
        <w:rPr>
          <w:rFonts w:ascii="David" w:hAnsi="David" w:cs="David"/>
          <w:sz w:val="24"/>
          <w:szCs w:val="24"/>
          <w:rtl/>
        </w:rPr>
        <w:t xml:space="preserve"> אזהרה. כלומר, הטריבונל השיפוטי שהוקם במיוחד על מנת לחקור את אירועי אסון הר מירון, מצא שאין להוסיף לחקור את התובע או לבדוק ולהוציא המלצות בעניינו.</w:t>
      </w:r>
    </w:p>
    <w:p w:rsidR="00E0607A" w:rsidRDefault="00E0607A" w:rsidP="00E0607A">
      <w:pPr>
        <w:pStyle w:val="ad"/>
        <w:spacing w:line="360" w:lineRule="auto"/>
        <w:ind w:left="1115"/>
        <w:jc w:val="both"/>
        <w:rPr>
          <w:rFonts w:ascii="David" w:hAnsi="David" w:cs="David"/>
          <w:sz w:val="24"/>
          <w:szCs w:val="24"/>
        </w:rPr>
      </w:pPr>
    </w:p>
    <w:p w:rsidR="00E0607A" w:rsidRDefault="00E0607A" w:rsidP="002D75AF">
      <w:pPr>
        <w:pStyle w:val="ad"/>
        <w:numPr>
          <w:ilvl w:val="0"/>
          <w:numId w:val="9"/>
        </w:numPr>
        <w:spacing w:line="360" w:lineRule="auto"/>
        <w:ind w:left="1387"/>
        <w:jc w:val="both"/>
        <w:rPr>
          <w:rFonts w:ascii="David" w:hAnsi="David" w:cs="David"/>
          <w:sz w:val="24"/>
          <w:szCs w:val="24"/>
        </w:rPr>
      </w:pPr>
      <w:r>
        <w:rPr>
          <w:rFonts w:ascii="David" w:hAnsi="David" w:cs="David"/>
          <w:sz w:val="24"/>
          <w:szCs w:val="24"/>
          <w:rtl/>
        </w:rPr>
        <w:t>מכתבי האזהרה הוצאו מכח הוראות סעיף 15 ל</w:t>
      </w:r>
      <w:r w:rsidRPr="002D75AF">
        <w:rPr>
          <w:rFonts w:ascii="David" w:hAnsi="David" w:cs="David"/>
          <w:sz w:val="24"/>
          <w:szCs w:val="24"/>
          <w:u w:val="single"/>
          <w:rtl/>
        </w:rPr>
        <w:t>חוק ועדות חקירה</w:t>
      </w:r>
      <w:r>
        <w:rPr>
          <w:rFonts w:ascii="David" w:hAnsi="David" w:cs="David"/>
          <w:sz w:val="24"/>
          <w:szCs w:val="24"/>
          <w:rtl/>
        </w:rPr>
        <w:t>, תשכ"ט – 1969. הוראות הקובעות כי יש להוציא מכתב אזהרה לכל מי שעלול להיפגע מהחקירה או מתוצאותיה, וכלשון סעיף 15(א) לחוק (ההדגשות לא במקור):</w:t>
      </w:r>
    </w:p>
    <w:p w:rsidR="00E0607A" w:rsidRDefault="00E0607A" w:rsidP="00E0607A">
      <w:pPr>
        <w:pStyle w:val="ad"/>
        <w:spacing w:line="360" w:lineRule="auto"/>
        <w:ind w:left="2098"/>
        <w:jc w:val="both"/>
        <w:rPr>
          <w:rFonts w:ascii="David" w:hAnsi="David" w:cs="David"/>
          <w:b/>
          <w:bCs/>
          <w:sz w:val="24"/>
          <w:szCs w:val="24"/>
        </w:rPr>
      </w:pPr>
      <w:r>
        <w:rPr>
          <w:rFonts w:ascii="David" w:hAnsi="David" w:cs="David"/>
          <w:b/>
          <w:bCs/>
          <w:color w:val="000000"/>
          <w:sz w:val="24"/>
          <w:szCs w:val="24"/>
          <w:shd w:val="clear" w:color="auto" w:fill="FFFFFF"/>
          <w:rtl/>
        </w:rPr>
        <w:t>"</w:t>
      </w:r>
      <w:r>
        <w:rPr>
          <w:rFonts w:ascii="David" w:hAnsi="David" w:cs="David"/>
          <w:b/>
          <w:bCs/>
          <w:color w:val="000000"/>
          <w:sz w:val="24"/>
          <w:szCs w:val="24"/>
          <w:u w:val="single"/>
          <w:shd w:val="clear" w:color="auto" w:fill="FFFFFF"/>
          <w:rtl/>
        </w:rPr>
        <w:t>ראתה ועדת חקירה שפלוני עלול להיפגע מן החקירה או מתוצאותיה</w:t>
      </w:r>
      <w:r>
        <w:rPr>
          <w:rFonts w:ascii="David" w:hAnsi="David" w:cs="David"/>
          <w:b/>
          <w:bCs/>
          <w:color w:val="000000"/>
          <w:sz w:val="24"/>
          <w:szCs w:val="24"/>
          <w:shd w:val="clear" w:color="auto" w:fill="FFFFFF"/>
          <w:rtl/>
        </w:rPr>
        <w:t>, יודיע לו יושב-ראש הועדה במה הוא עלול להיפגע ויעמיד לרשותו, בדרך שימצא לנכון, את חומר הראיות הנוגע לאותה פגיעה והנמצא בידי הועדה או בידי מי שהוטל עליו לאסוף חומר לפי סעיף 13</w:t>
      </w:r>
      <w:r>
        <w:rPr>
          <w:rFonts w:ascii="David" w:hAnsi="David" w:cs="David"/>
          <w:b/>
          <w:bCs/>
          <w:color w:val="000000"/>
          <w:sz w:val="24"/>
          <w:szCs w:val="24"/>
          <w:shd w:val="clear" w:color="auto" w:fill="FFFFFF"/>
        </w:rPr>
        <w:t>;</w:t>
      </w:r>
      <w:r>
        <w:rPr>
          <w:rFonts w:ascii="David" w:hAnsi="David" w:cs="David"/>
          <w:b/>
          <w:bCs/>
          <w:sz w:val="24"/>
          <w:szCs w:val="24"/>
          <w:rtl/>
        </w:rPr>
        <w:t>..."</w:t>
      </w:r>
    </w:p>
    <w:p w:rsidR="00E0607A" w:rsidRDefault="00E0607A" w:rsidP="00E0607A">
      <w:pPr>
        <w:pStyle w:val="ad"/>
        <w:rPr>
          <w:rFonts w:ascii="David" w:hAnsi="David" w:cs="David"/>
          <w:sz w:val="24"/>
          <w:szCs w:val="24"/>
          <w:rtl/>
        </w:rPr>
      </w:pPr>
    </w:p>
    <w:p w:rsidR="00E0607A" w:rsidRDefault="00E0607A" w:rsidP="00E0607A">
      <w:pPr>
        <w:pStyle w:val="ad"/>
        <w:spacing w:line="360" w:lineRule="auto"/>
        <w:ind w:left="1387"/>
        <w:jc w:val="both"/>
        <w:rPr>
          <w:rFonts w:ascii="David" w:hAnsi="David" w:cs="David"/>
          <w:sz w:val="24"/>
          <w:szCs w:val="24"/>
          <w:rtl/>
        </w:rPr>
      </w:pPr>
      <w:r>
        <w:rPr>
          <w:rFonts w:ascii="David" w:hAnsi="David" w:cs="David"/>
          <w:sz w:val="24"/>
          <w:szCs w:val="24"/>
          <w:rtl/>
        </w:rPr>
        <w:t xml:space="preserve">כל מי שוועדת החקירה סברה שעלול להיפגע ממסקנותיה, הוזהר כדין. ומה עם מי שלא הוזהר כלל, דוגמת התובע? מי שלא הוזהר כלל קיבל בפועל הודעה מכללא לפיה הוועדה </w:t>
      </w:r>
      <w:r>
        <w:rPr>
          <w:rFonts w:ascii="David" w:hAnsi="David" w:cs="David"/>
          <w:sz w:val="24"/>
          <w:szCs w:val="24"/>
          <w:u w:val="single"/>
          <w:rtl/>
        </w:rPr>
        <w:t>לא</w:t>
      </w:r>
      <w:r>
        <w:rPr>
          <w:rFonts w:ascii="David" w:hAnsi="David" w:cs="David"/>
          <w:sz w:val="24"/>
          <w:szCs w:val="24"/>
          <w:rtl/>
        </w:rPr>
        <w:t xml:space="preserve"> סבורה שהוא "עלול להיפגע מן החקירה או מתוצאותיה". </w:t>
      </w:r>
    </w:p>
    <w:p w:rsidR="00E0607A" w:rsidRDefault="00E0607A" w:rsidP="00E0607A">
      <w:pPr>
        <w:pStyle w:val="ad"/>
        <w:spacing w:line="360" w:lineRule="auto"/>
        <w:ind w:left="1115"/>
        <w:jc w:val="both"/>
        <w:rPr>
          <w:rFonts w:ascii="David" w:hAnsi="David" w:cs="David"/>
          <w:sz w:val="24"/>
          <w:szCs w:val="24"/>
          <w:rtl/>
        </w:rPr>
      </w:pPr>
    </w:p>
    <w:p w:rsidR="00E0607A" w:rsidRDefault="00E0607A" w:rsidP="00E0607A">
      <w:pPr>
        <w:pStyle w:val="ad"/>
        <w:numPr>
          <w:ilvl w:val="0"/>
          <w:numId w:val="9"/>
        </w:numPr>
        <w:spacing w:line="360" w:lineRule="auto"/>
        <w:ind w:left="1387"/>
        <w:jc w:val="both"/>
        <w:rPr>
          <w:rFonts w:ascii="David" w:hAnsi="David" w:cs="David"/>
          <w:sz w:val="24"/>
          <w:szCs w:val="24"/>
        </w:rPr>
      </w:pPr>
      <w:r>
        <w:rPr>
          <w:rFonts w:ascii="David" w:hAnsi="David" w:cs="David"/>
          <w:sz w:val="24"/>
          <w:szCs w:val="24"/>
          <w:rtl/>
        </w:rPr>
        <w:t>באופן ציורי ניתן לומר שהתובע כלל לא נכנס למעגל הסכנה של המוזהרים אשר עלולים להימצא כאחראים לאסון. בוודאי ניתן לומר שהתובע אינו כזה אשר נקבע ש"דם 45 נספי אסון מירון מרוח על ידיו".</w:t>
      </w:r>
    </w:p>
    <w:p w:rsidR="00E0607A" w:rsidRDefault="00E0607A" w:rsidP="00E0607A">
      <w:pPr>
        <w:pStyle w:val="ad"/>
        <w:spacing w:line="360" w:lineRule="auto"/>
        <w:ind w:left="395"/>
        <w:jc w:val="both"/>
        <w:rPr>
          <w:rFonts w:ascii="David" w:hAnsi="David" w:cs="David"/>
          <w:sz w:val="24"/>
          <w:szCs w:val="24"/>
          <w:rtl/>
        </w:rPr>
      </w:pPr>
    </w:p>
    <w:p w:rsidR="00E0607A" w:rsidRDefault="00167260" w:rsidP="002D75AF">
      <w:pPr>
        <w:pStyle w:val="ad"/>
        <w:numPr>
          <w:ilvl w:val="0"/>
          <w:numId w:val="17"/>
        </w:numPr>
        <w:spacing w:line="360" w:lineRule="auto"/>
        <w:ind w:left="962" w:hanging="567"/>
        <w:jc w:val="both"/>
        <w:rPr>
          <w:rFonts w:ascii="David" w:hAnsi="David" w:cs="David"/>
          <w:sz w:val="24"/>
          <w:szCs w:val="24"/>
        </w:rPr>
      </w:pPr>
      <w:r>
        <w:rPr>
          <w:rFonts w:ascii="David" w:hAnsi="David" w:cs="David" w:hint="cs"/>
          <w:b/>
          <w:bCs/>
          <w:sz w:val="24"/>
          <w:szCs w:val="24"/>
          <w:u w:val="single"/>
          <w:rtl/>
        </w:rPr>
        <w:t xml:space="preserve">נימוק </w:t>
      </w:r>
      <w:r w:rsidR="002D75AF">
        <w:rPr>
          <w:rFonts w:ascii="David" w:hAnsi="David" w:cs="David" w:hint="cs"/>
          <w:b/>
          <w:bCs/>
          <w:sz w:val="24"/>
          <w:szCs w:val="24"/>
          <w:u w:val="single"/>
          <w:rtl/>
        </w:rPr>
        <w:t>שני</w:t>
      </w:r>
      <w:r>
        <w:rPr>
          <w:rFonts w:ascii="David" w:hAnsi="David" w:cs="David" w:hint="cs"/>
          <w:b/>
          <w:bCs/>
          <w:sz w:val="24"/>
          <w:szCs w:val="24"/>
          <w:u w:val="single"/>
          <w:rtl/>
        </w:rPr>
        <w:t xml:space="preserve"> משניים מדוע לא קמה לנתבע הגנת "אמת דיברתי"</w:t>
      </w:r>
      <w:r>
        <w:rPr>
          <w:rFonts w:ascii="David" w:hAnsi="David" w:cs="David"/>
          <w:b/>
          <w:bCs/>
          <w:sz w:val="24"/>
          <w:szCs w:val="24"/>
          <w:u w:val="single"/>
          <w:rtl/>
        </w:rPr>
        <w:t xml:space="preserve"> – </w:t>
      </w:r>
      <w:r w:rsidR="00E0607A">
        <w:rPr>
          <w:rFonts w:ascii="David" w:hAnsi="David" w:cs="David"/>
          <w:b/>
          <w:bCs/>
          <w:sz w:val="24"/>
          <w:szCs w:val="24"/>
          <w:u w:val="single"/>
          <w:rtl/>
        </w:rPr>
        <w:t xml:space="preserve"> אפילו היה הנתבע נכלל, בדיעבד, ברשימת מקבלי מכתבי האזהרה – עדיין קיים קושי בפרסום המוקדם המייחס לו אשם במותם של נספי האסון</w:t>
      </w:r>
    </w:p>
    <w:p w:rsidR="00E0607A" w:rsidRDefault="00E0607A" w:rsidP="002D75AF">
      <w:pPr>
        <w:pStyle w:val="ad"/>
        <w:numPr>
          <w:ilvl w:val="0"/>
          <w:numId w:val="9"/>
        </w:numPr>
        <w:spacing w:line="360" w:lineRule="auto"/>
        <w:ind w:left="1387"/>
        <w:jc w:val="both"/>
        <w:rPr>
          <w:rFonts w:ascii="David" w:hAnsi="David" w:cs="David"/>
          <w:sz w:val="24"/>
          <w:szCs w:val="24"/>
        </w:rPr>
      </w:pPr>
      <w:r>
        <w:rPr>
          <w:rFonts w:ascii="David" w:hAnsi="David" w:cs="David"/>
          <w:sz w:val="24"/>
          <w:szCs w:val="24"/>
          <w:rtl/>
        </w:rPr>
        <w:t>לא ניתן להקל ראש באמירה המייחסת לאיש ציבור אשמה במותם של עשרות אנשים. אמירה ציו</w:t>
      </w:r>
      <w:r w:rsidR="002D75AF">
        <w:rPr>
          <w:rFonts w:ascii="David" w:hAnsi="David" w:cs="David"/>
          <w:sz w:val="24"/>
          <w:szCs w:val="24"/>
          <w:rtl/>
        </w:rPr>
        <w:t>רית המכתימה את ידיו בדם ההרוגים</w:t>
      </w:r>
      <w:r>
        <w:rPr>
          <w:rFonts w:ascii="David" w:hAnsi="David" w:cs="David"/>
          <w:sz w:val="24"/>
          <w:szCs w:val="24"/>
          <w:rtl/>
        </w:rPr>
        <w:t xml:space="preserve"> כמוה, כמעט, כדיווח על הרשעת אדם בביצוע פשע. ואולם התובע כלל לא נחשד, לא הואשם וממילא לא הורשע, חלילה, בגין מותם של הרוגי האסון.</w:t>
      </w:r>
    </w:p>
    <w:p w:rsidR="00E0607A" w:rsidRDefault="00E0607A" w:rsidP="00E0607A">
      <w:pPr>
        <w:pStyle w:val="ad"/>
        <w:spacing w:line="360" w:lineRule="auto"/>
        <w:ind w:left="1387"/>
        <w:jc w:val="both"/>
        <w:rPr>
          <w:rFonts w:ascii="David" w:hAnsi="David" w:cs="David"/>
          <w:sz w:val="24"/>
          <w:szCs w:val="24"/>
        </w:rPr>
      </w:pPr>
    </w:p>
    <w:p w:rsidR="00E0607A" w:rsidRDefault="00E0607A" w:rsidP="00E0607A">
      <w:pPr>
        <w:pStyle w:val="ad"/>
        <w:numPr>
          <w:ilvl w:val="0"/>
          <w:numId w:val="9"/>
        </w:numPr>
        <w:spacing w:line="360" w:lineRule="auto"/>
        <w:ind w:left="1387"/>
        <w:jc w:val="both"/>
        <w:rPr>
          <w:rFonts w:ascii="David" w:hAnsi="David" w:cs="David"/>
          <w:sz w:val="24"/>
          <w:szCs w:val="24"/>
        </w:rPr>
      </w:pPr>
      <w:r>
        <w:rPr>
          <w:rFonts w:ascii="David" w:hAnsi="David" w:cs="David"/>
          <w:sz w:val="24"/>
          <w:szCs w:val="24"/>
          <w:rtl/>
        </w:rPr>
        <w:t>המועד הקובע לבדיקת תוכנו של פרסום מכפיש ולבחינה האם הוא בגדר "אמת דיברתי" -  הוא מועד הפרסום. ככל שבמועד הפרסום, הנפגע התובע לא הורשע בדבר – הרי אין לפרסם אמירות מהן עלולים להבין כאילו הורשע.</w:t>
      </w:r>
    </w:p>
    <w:p w:rsidR="00E0607A" w:rsidRDefault="00E0607A" w:rsidP="00E0607A">
      <w:pPr>
        <w:pStyle w:val="ad"/>
        <w:spacing w:line="360" w:lineRule="auto"/>
        <w:ind w:left="755"/>
        <w:jc w:val="both"/>
        <w:rPr>
          <w:rFonts w:ascii="David" w:hAnsi="David" w:cs="David"/>
          <w:sz w:val="24"/>
          <w:szCs w:val="24"/>
          <w:rtl/>
        </w:rPr>
      </w:pPr>
    </w:p>
    <w:p w:rsidR="002D75AF" w:rsidRDefault="002D75AF" w:rsidP="00E0607A">
      <w:pPr>
        <w:pStyle w:val="ad"/>
        <w:spacing w:line="360" w:lineRule="auto"/>
        <w:ind w:left="755"/>
        <w:jc w:val="both"/>
        <w:rPr>
          <w:rFonts w:ascii="David" w:hAnsi="David" w:cs="David"/>
          <w:sz w:val="24"/>
          <w:szCs w:val="24"/>
        </w:rPr>
      </w:pPr>
    </w:p>
    <w:p w:rsidR="00E0607A" w:rsidRDefault="00E0607A" w:rsidP="00E0607A">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lastRenderedPageBreak/>
        <w:t>הערות לפני סיום הדיון בסוגיית פרסום הראשון</w:t>
      </w:r>
    </w:p>
    <w:p w:rsidR="00E0607A" w:rsidRDefault="00E0607A" w:rsidP="00E0607A">
      <w:pPr>
        <w:pStyle w:val="ad"/>
        <w:spacing w:line="360" w:lineRule="auto"/>
        <w:ind w:left="395"/>
        <w:jc w:val="both"/>
        <w:rPr>
          <w:rFonts w:ascii="David" w:hAnsi="David" w:cs="David"/>
          <w:sz w:val="24"/>
          <w:szCs w:val="24"/>
        </w:rPr>
      </w:pPr>
      <w:r>
        <w:rPr>
          <w:rFonts w:ascii="David" w:hAnsi="David" w:cs="David"/>
          <w:sz w:val="24"/>
          <w:szCs w:val="24"/>
          <w:rtl/>
        </w:rPr>
        <w:t>לפני סיום הדיון בסוגיית הפרסום הראשון, יובאו הדברים הבאים:</w:t>
      </w:r>
    </w:p>
    <w:p w:rsidR="00E0607A" w:rsidRDefault="00E0607A" w:rsidP="00E0607A">
      <w:pPr>
        <w:pStyle w:val="ad"/>
        <w:spacing w:line="360" w:lineRule="auto"/>
        <w:ind w:left="820"/>
        <w:jc w:val="both"/>
        <w:rPr>
          <w:rFonts w:ascii="David" w:hAnsi="David" w:cs="David"/>
          <w:sz w:val="24"/>
          <w:szCs w:val="24"/>
        </w:rPr>
      </w:pPr>
    </w:p>
    <w:p w:rsidR="00E0607A" w:rsidRPr="0053320B" w:rsidRDefault="00DE78FD" w:rsidP="00DE78FD">
      <w:pPr>
        <w:pStyle w:val="ad"/>
        <w:numPr>
          <w:ilvl w:val="0"/>
          <w:numId w:val="18"/>
        </w:numPr>
        <w:spacing w:line="360" w:lineRule="auto"/>
        <w:ind w:left="820"/>
        <w:jc w:val="both"/>
        <w:rPr>
          <w:rFonts w:ascii="David" w:hAnsi="David" w:cs="David"/>
          <w:sz w:val="24"/>
          <w:szCs w:val="24"/>
        </w:rPr>
      </w:pPr>
      <w:r>
        <w:rPr>
          <w:rFonts w:ascii="David" w:hAnsi="David" w:cs="David" w:hint="cs"/>
          <w:b/>
          <w:bCs/>
          <w:sz w:val="24"/>
          <w:szCs w:val="24"/>
          <w:u w:val="single"/>
          <w:rtl/>
        </w:rPr>
        <w:t>הערה ראשונה</w:t>
      </w:r>
      <w:r w:rsidR="00E0607A">
        <w:rPr>
          <w:rFonts w:ascii="David" w:hAnsi="David" w:cs="David"/>
          <w:sz w:val="24"/>
          <w:szCs w:val="24"/>
          <w:rtl/>
        </w:rPr>
        <w:t xml:space="preserve">, </w:t>
      </w:r>
      <w:r w:rsidR="00E0607A" w:rsidRPr="0053320B">
        <w:rPr>
          <w:rFonts w:ascii="David" w:hAnsi="David" w:cs="David"/>
          <w:sz w:val="24"/>
          <w:szCs w:val="24"/>
          <w:rtl/>
        </w:rPr>
        <w:t xml:space="preserve">למען הסר ספק ייאמר שבחנתי ולטעמי הפרסום אינו מוגן מכח הוראות סעיף 15(6) לחוק איסור לשון הרע. הוראות המגנות על פרסום שהוא </w:t>
      </w:r>
      <w:r w:rsidR="00E0607A" w:rsidRPr="0053320B">
        <w:rPr>
          <w:rFonts w:ascii="David" w:hAnsi="David" w:cs="David"/>
          <w:b/>
          <w:bCs/>
          <w:color w:val="000000"/>
          <w:sz w:val="24"/>
          <w:szCs w:val="24"/>
          <w:shd w:val="clear" w:color="auto" w:fill="FFFFFF"/>
          <w:rtl/>
        </w:rPr>
        <w:t>"בקורת על יצירה ספרותית, מדעית, אמנותית או אחרת</w:t>
      </w:r>
      <w:r w:rsidR="00E0607A" w:rsidRPr="0053320B">
        <w:rPr>
          <w:rFonts w:ascii="David" w:hAnsi="David" w:cs="David"/>
          <w:b/>
          <w:bCs/>
          <w:sz w:val="24"/>
          <w:szCs w:val="24"/>
          <w:rtl/>
        </w:rPr>
        <w:t>"</w:t>
      </w:r>
      <w:r w:rsidR="00E0607A" w:rsidRPr="0053320B">
        <w:rPr>
          <w:rFonts w:ascii="David" w:hAnsi="David" w:cs="David"/>
          <w:sz w:val="24"/>
          <w:szCs w:val="24"/>
          <w:rtl/>
        </w:rPr>
        <w:t>. בעניינינו, אין כל רלוונטיות להגנה זו באשר לא מדובר בביקורת ספרותית, אמנותית או מדעית שהשמיע הנתבע.</w:t>
      </w:r>
    </w:p>
    <w:p w:rsidR="00E0607A" w:rsidRDefault="00E0607A" w:rsidP="00E0607A">
      <w:pPr>
        <w:pStyle w:val="ad"/>
        <w:spacing w:line="360" w:lineRule="auto"/>
        <w:ind w:left="820"/>
        <w:jc w:val="both"/>
        <w:rPr>
          <w:rFonts w:ascii="David" w:hAnsi="David" w:cs="David"/>
          <w:sz w:val="24"/>
          <w:szCs w:val="24"/>
        </w:rPr>
      </w:pPr>
    </w:p>
    <w:p w:rsidR="00E0607A" w:rsidRPr="00534389" w:rsidRDefault="00DE78FD" w:rsidP="00DE78FD">
      <w:pPr>
        <w:pStyle w:val="ad"/>
        <w:numPr>
          <w:ilvl w:val="0"/>
          <w:numId w:val="18"/>
        </w:numPr>
        <w:spacing w:line="360" w:lineRule="auto"/>
        <w:ind w:left="820"/>
        <w:jc w:val="both"/>
        <w:rPr>
          <w:rFonts w:ascii="David" w:hAnsi="David" w:cs="David"/>
          <w:sz w:val="24"/>
          <w:szCs w:val="24"/>
        </w:rPr>
      </w:pPr>
      <w:r>
        <w:rPr>
          <w:rFonts w:ascii="David" w:hAnsi="David" w:cs="David" w:hint="cs"/>
          <w:b/>
          <w:bCs/>
          <w:sz w:val="24"/>
          <w:szCs w:val="24"/>
          <w:u w:val="single"/>
          <w:rtl/>
        </w:rPr>
        <w:t>הערה שניה</w:t>
      </w:r>
      <w:r w:rsidR="00E0607A">
        <w:rPr>
          <w:rFonts w:ascii="David" w:hAnsi="David" w:cs="David"/>
          <w:sz w:val="24"/>
          <w:szCs w:val="24"/>
          <w:rtl/>
        </w:rPr>
        <w:t xml:space="preserve">, בנוסף, הפרסום אינו מוגן מכח הוראות סעיף 15(11) לחוק איסור לשון הרע המקים הגנה במקרה של </w:t>
      </w:r>
      <w:r w:rsidR="00E0607A">
        <w:rPr>
          <w:rFonts w:ascii="David" w:hAnsi="David" w:cs="David"/>
          <w:b/>
          <w:bCs/>
          <w:sz w:val="24"/>
          <w:szCs w:val="24"/>
          <w:rtl/>
        </w:rPr>
        <w:t>"</w:t>
      </w:r>
      <w:r w:rsidR="00E0607A">
        <w:rPr>
          <w:rFonts w:ascii="David" w:hAnsi="David" w:cs="David"/>
          <w:b/>
          <w:bCs/>
          <w:color w:val="000000"/>
          <w:sz w:val="24"/>
          <w:szCs w:val="24"/>
          <w:shd w:val="clear" w:color="auto" w:fill="FFFFFF"/>
          <w:rtl/>
        </w:rPr>
        <w:t>מסירת ידיעה לעורך אמצעי תקשורת או לנציגו כדי שיבחן שאלת פרסומה באמצעי התקשורת</w:t>
      </w:r>
      <w:r w:rsidR="00E0607A" w:rsidRPr="00534389">
        <w:rPr>
          <w:rFonts w:ascii="David" w:hAnsi="David" w:cs="David"/>
          <w:b/>
          <w:bCs/>
          <w:sz w:val="24"/>
          <w:szCs w:val="24"/>
          <w:rtl/>
        </w:rPr>
        <w:t>"</w:t>
      </w:r>
      <w:r w:rsidR="00E0607A" w:rsidRPr="00534389">
        <w:rPr>
          <w:rFonts w:ascii="David" w:hAnsi="David" w:cs="David"/>
          <w:sz w:val="24"/>
          <w:szCs w:val="24"/>
          <w:rtl/>
        </w:rPr>
        <w:t>. אין חולק על כך שהפרסום לציבור הכולל אינו בגדר "מסירת ידיעה" פרטנית למי שהוא "עורך אמצעי תקשורת".</w:t>
      </w:r>
    </w:p>
    <w:p w:rsidR="00E0607A" w:rsidRDefault="00E0607A" w:rsidP="00E0607A">
      <w:pPr>
        <w:pStyle w:val="ad"/>
        <w:rPr>
          <w:rFonts w:ascii="David" w:hAnsi="David" w:cs="David"/>
          <w:sz w:val="24"/>
          <w:szCs w:val="24"/>
        </w:rPr>
      </w:pPr>
    </w:p>
    <w:p w:rsidR="00E0607A" w:rsidRDefault="00DE78FD" w:rsidP="00DE78FD">
      <w:pPr>
        <w:pStyle w:val="ad"/>
        <w:numPr>
          <w:ilvl w:val="0"/>
          <w:numId w:val="18"/>
        </w:numPr>
        <w:spacing w:line="360" w:lineRule="auto"/>
        <w:ind w:left="820"/>
        <w:jc w:val="both"/>
        <w:rPr>
          <w:rFonts w:ascii="David" w:hAnsi="David" w:cs="David"/>
          <w:sz w:val="24"/>
          <w:szCs w:val="24"/>
          <w:rtl/>
        </w:rPr>
      </w:pPr>
      <w:r>
        <w:rPr>
          <w:rFonts w:ascii="David" w:hAnsi="David" w:cs="David" w:hint="cs"/>
          <w:b/>
          <w:bCs/>
          <w:sz w:val="24"/>
          <w:szCs w:val="24"/>
          <w:u w:val="single"/>
          <w:rtl/>
        </w:rPr>
        <w:t xml:space="preserve">הערה </w:t>
      </w:r>
      <w:r>
        <w:rPr>
          <w:rFonts w:ascii="David" w:hAnsi="David" w:cs="David"/>
          <w:b/>
          <w:bCs/>
          <w:sz w:val="24"/>
          <w:szCs w:val="24"/>
          <w:u w:val="single"/>
          <w:rtl/>
        </w:rPr>
        <w:t>שלישית</w:t>
      </w:r>
      <w:r>
        <w:rPr>
          <w:rFonts w:ascii="David" w:hAnsi="David" w:cs="David" w:hint="cs"/>
          <w:b/>
          <w:bCs/>
          <w:sz w:val="24"/>
          <w:szCs w:val="24"/>
          <w:u w:val="single"/>
          <w:rtl/>
        </w:rPr>
        <w:t xml:space="preserve"> והתייחסות</w:t>
      </w:r>
      <w:r w:rsidR="00E0607A">
        <w:rPr>
          <w:rFonts w:ascii="David" w:hAnsi="David" w:cs="David"/>
          <w:b/>
          <w:bCs/>
          <w:sz w:val="24"/>
          <w:szCs w:val="24"/>
          <w:u w:val="single"/>
          <w:rtl/>
        </w:rPr>
        <w:t xml:space="preserve"> לכך שהתביעה הוגדה כנגד הנתבע בלבד</w:t>
      </w:r>
    </w:p>
    <w:p w:rsidR="00E0607A" w:rsidRDefault="00E0607A" w:rsidP="005851DD">
      <w:pPr>
        <w:pStyle w:val="ad"/>
        <w:numPr>
          <w:ilvl w:val="0"/>
          <w:numId w:val="9"/>
        </w:numPr>
        <w:spacing w:line="360" w:lineRule="auto"/>
        <w:jc w:val="both"/>
        <w:rPr>
          <w:rFonts w:ascii="David" w:hAnsi="David" w:cs="David"/>
          <w:sz w:val="24"/>
          <w:szCs w:val="24"/>
        </w:rPr>
      </w:pPr>
      <w:r>
        <w:rPr>
          <w:rFonts w:ascii="David" w:hAnsi="David" w:cs="David"/>
          <w:sz w:val="24"/>
          <w:szCs w:val="24"/>
          <w:rtl/>
        </w:rPr>
        <w:t xml:space="preserve">התובע בחר להגיש התביעה אך ורק כנגד הנתבע ולא כנגד העיתון במסגרתו נעשה הפרסום. אכן ניתן לתמוה מדוע בחר התובע להתמקד אך ורק </w:t>
      </w:r>
      <w:r w:rsidR="005851DD">
        <w:rPr>
          <w:rFonts w:ascii="David" w:hAnsi="David" w:cs="David"/>
          <w:sz w:val="24"/>
          <w:szCs w:val="24"/>
          <w:rtl/>
        </w:rPr>
        <w:t>בעיתונאי שפרסם את האמירה</w:t>
      </w:r>
      <w:r w:rsidR="005851DD">
        <w:rPr>
          <w:rFonts w:ascii="David" w:hAnsi="David" w:cs="David" w:hint="cs"/>
          <w:sz w:val="24"/>
          <w:szCs w:val="24"/>
          <w:rtl/>
        </w:rPr>
        <w:t>.</w:t>
      </w:r>
      <w:r>
        <w:rPr>
          <w:rFonts w:ascii="David" w:hAnsi="David" w:cs="David"/>
          <w:sz w:val="24"/>
          <w:szCs w:val="24"/>
          <w:rtl/>
        </w:rPr>
        <w:t xml:space="preserve"> התנהלות זו נועדה גם על מנת לרכז המאמץ כנגד האחראי הישיר לפרסום, ו</w:t>
      </w:r>
      <w:r>
        <w:rPr>
          <w:rFonts w:ascii="David" w:hAnsi="David" w:cs="David"/>
          <w:sz w:val="24"/>
          <w:szCs w:val="24"/>
          <w:u w:val="single"/>
          <w:rtl/>
        </w:rPr>
        <w:t>לא מופרך יהיה לסבור שמאחורי הגשת התביעה עומד גם רצון להרתיע את הנתבע מביצוע פרסומים דומים בעתיד</w:t>
      </w:r>
      <w:r w:rsidR="0053320B">
        <w:rPr>
          <w:rFonts w:ascii="David" w:hAnsi="David" w:cs="David"/>
          <w:sz w:val="24"/>
          <w:szCs w:val="24"/>
          <w:rtl/>
        </w:rPr>
        <w:t xml:space="preserve">. עם </w:t>
      </w:r>
      <w:r w:rsidR="0053320B">
        <w:rPr>
          <w:rFonts w:ascii="David" w:hAnsi="David" w:cs="David" w:hint="cs"/>
          <w:sz w:val="24"/>
          <w:szCs w:val="24"/>
          <w:rtl/>
        </w:rPr>
        <w:t>ז</w:t>
      </w:r>
      <w:r>
        <w:rPr>
          <w:rFonts w:ascii="David" w:hAnsi="David" w:cs="David"/>
          <w:sz w:val="24"/>
          <w:szCs w:val="24"/>
          <w:rtl/>
        </w:rPr>
        <w:t>את, בנסיבות הענין, אין בכ</w:t>
      </w:r>
      <w:r w:rsidR="0053320B">
        <w:rPr>
          <w:rFonts w:ascii="David" w:hAnsi="David" w:cs="David" w:hint="cs"/>
          <w:sz w:val="24"/>
          <w:szCs w:val="24"/>
          <w:rtl/>
        </w:rPr>
        <w:t>ך</w:t>
      </w:r>
      <w:r>
        <w:rPr>
          <w:rFonts w:ascii="David" w:hAnsi="David" w:cs="David"/>
          <w:sz w:val="24"/>
          <w:szCs w:val="24"/>
          <w:rtl/>
        </w:rPr>
        <w:t xml:space="preserve"> כדי לשנות תוצאת ההליך. אין מדובר במצב בו קמה טענת "הגנה מן הצדק" או טענת "תביעת השתקה", ועל כך בפסקאות הבאות.</w:t>
      </w:r>
    </w:p>
    <w:p w:rsidR="00E0607A" w:rsidRDefault="00E0607A" w:rsidP="00E0607A">
      <w:pPr>
        <w:pStyle w:val="ad"/>
        <w:spacing w:line="360" w:lineRule="auto"/>
        <w:ind w:left="1115"/>
        <w:jc w:val="both"/>
        <w:rPr>
          <w:rFonts w:ascii="David" w:hAnsi="David" w:cs="David"/>
          <w:sz w:val="24"/>
          <w:szCs w:val="24"/>
        </w:rPr>
      </w:pPr>
    </w:p>
    <w:p w:rsidR="00E0607A" w:rsidRPr="001C46E6" w:rsidRDefault="00E0607A" w:rsidP="00E0607A">
      <w:pPr>
        <w:pStyle w:val="ad"/>
        <w:numPr>
          <w:ilvl w:val="0"/>
          <w:numId w:val="9"/>
        </w:numPr>
        <w:spacing w:line="360" w:lineRule="auto"/>
        <w:jc w:val="both"/>
        <w:rPr>
          <w:rFonts w:ascii="David" w:hAnsi="David" w:cs="David"/>
          <w:b/>
          <w:bCs/>
          <w:sz w:val="24"/>
          <w:szCs w:val="24"/>
        </w:rPr>
      </w:pPr>
      <w:r w:rsidRPr="005851DD">
        <w:rPr>
          <w:rFonts w:ascii="David" w:hAnsi="David" w:cs="David"/>
          <w:b/>
          <w:bCs/>
          <w:sz w:val="24"/>
          <w:szCs w:val="24"/>
          <w:u w:val="single"/>
          <w:rtl/>
        </w:rPr>
        <w:t>אין מדובר במקרה בו יש לדון בטענת "הגנה מן הצדק"</w:t>
      </w:r>
      <w:r>
        <w:rPr>
          <w:rFonts w:ascii="David" w:hAnsi="David" w:cs="David"/>
          <w:sz w:val="24"/>
          <w:szCs w:val="24"/>
          <w:rtl/>
        </w:rPr>
        <w:t xml:space="preserve"> – ההליך הוא הליך אזרחי. ברגיל ובהליכים פליליים, כאשר מוגשת תביעה כנגד חלק מבעלי הדין הנכונים עלולה לעלות טענה של </w:t>
      </w:r>
      <w:r>
        <w:rPr>
          <w:rFonts w:ascii="David" w:hAnsi="David" w:cs="David"/>
          <w:b/>
          <w:bCs/>
          <w:sz w:val="24"/>
          <w:szCs w:val="24"/>
          <w:rtl/>
        </w:rPr>
        <w:t>"הגנה מן הצדק"</w:t>
      </w:r>
      <w:r>
        <w:rPr>
          <w:rFonts w:ascii="David" w:hAnsi="David" w:cs="David"/>
          <w:sz w:val="24"/>
          <w:szCs w:val="24"/>
          <w:rtl/>
        </w:rPr>
        <w:t xml:space="preserve">. טענת "הגנה מן הצדק" היתה עשויה לסייע גם לנתבע, ככל וההליך כנגדו לא היה ננקט כהליך אזרחי אלא כקובלנה פלילית. הלכה פסוקה, גם ביחס לקובלנה </w:t>
      </w:r>
      <w:r w:rsidRPr="001C46E6">
        <w:rPr>
          <w:rFonts w:ascii="David" w:hAnsi="David" w:cs="David"/>
          <w:sz w:val="24"/>
          <w:szCs w:val="24"/>
          <w:rtl/>
        </w:rPr>
        <w:t xml:space="preserve">פלילית, כי </w:t>
      </w:r>
      <w:r w:rsidRPr="001C46E6">
        <w:rPr>
          <w:rFonts w:ascii="David" w:hAnsi="David" w:cs="David"/>
          <w:b/>
          <w:bCs/>
          <w:sz w:val="24"/>
          <w:szCs w:val="24"/>
          <w:rtl/>
        </w:rPr>
        <w:t>"</w:t>
      </w:r>
      <w:r w:rsidRPr="001C46E6">
        <w:rPr>
          <w:rFonts w:ascii="David" w:hAnsi="David" w:cs="David"/>
          <w:b/>
          <w:bCs/>
          <w:color w:val="000000"/>
          <w:spacing w:val="10"/>
          <w:sz w:val="24"/>
          <w:szCs w:val="24"/>
          <w:rtl/>
        </w:rPr>
        <w:t xml:space="preserve">פגיעה ביכולתו של הנאשם </w:t>
      </w:r>
      <w:r w:rsidRPr="001C46E6">
        <w:rPr>
          <w:rFonts w:ascii="David" w:hAnsi="David" w:cs="David"/>
          <w:b/>
          <w:bCs/>
          <w:color w:val="000000"/>
          <w:spacing w:val="10"/>
          <w:sz w:val="24"/>
          <w:szCs w:val="24"/>
          <w:u w:val="single"/>
          <w:rtl/>
        </w:rPr>
        <w:t>בקובלנה פלילית</w:t>
      </w:r>
      <w:r w:rsidRPr="001C46E6">
        <w:rPr>
          <w:rFonts w:ascii="David" w:hAnsi="David" w:cs="David"/>
          <w:b/>
          <w:bCs/>
          <w:color w:val="000000"/>
          <w:spacing w:val="10"/>
          <w:sz w:val="24"/>
          <w:szCs w:val="24"/>
          <w:rtl/>
        </w:rPr>
        <w:t xml:space="preserve"> להתגונן, עלולה להביא למחיקת הקובלנה מטעמי </w:t>
      </w:r>
      <w:r w:rsidRPr="001C46E6">
        <w:rPr>
          <w:rFonts w:ascii="David" w:hAnsi="David" w:cs="David"/>
          <w:b/>
          <w:bCs/>
          <w:color w:val="000000"/>
          <w:spacing w:val="10"/>
          <w:sz w:val="24"/>
          <w:szCs w:val="24"/>
          <w:u w:val="single"/>
          <w:rtl/>
        </w:rPr>
        <w:t>הגנה מן הצדק</w:t>
      </w:r>
      <w:r w:rsidRPr="001C46E6">
        <w:rPr>
          <w:rFonts w:ascii="David" w:hAnsi="David" w:cs="David"/>
          <w:b/>
          <w:bCs/>
          <w:sz w:val="24"/>
          <w:szCs w:val="24"/>
          <w:rtl/>
        </w:rPr>
        <w:t>"</w:t>
      </w:r>
      <w:r w:rsidRPr="001C46E6">
        <w:rPr>
          <w:rFonts w:ascii="David" w:hAnsi="David" w:cs="David"/>
          <w:sz w:val="24"/>
          <w:szCs w:val="24"/>
          <w:rtl/>
        </w:rPr>
        <w:t>, ור'</w:t>
      </w:r>
      <w:r w:rsidRPr="001C46E6">
        <w:rPr>
          <w:rFonts w:ascii="David" w:hAnsi="David" w:cs="David"/>
          <w:b/>
          <w:bCs/>
          <w:sz w:val="24"/>
          <w:szCs w:val="24"/>
          <w:rtl/>
        </w:rPr>
        <w:t xml:space="preserve"> </w:t>
      </w:r>
      <w:r w:rsidRPr="001C46E6">
        <w:rPr>
          <w:rFonts w:ascii="David" w:hAnsi="David" w:cs="David"/>
          <w:color w:val="000000"/>
          <w:sz w:val="24"/>
          <w:szCs w:val="24"/>
          <w:rtl/>
        </w:rPr>
        <w:t xml:space="preserve">בגץ 1322/22, </w:t>
      </w:r>
      <w:r w:rsidRPr="001C46E6">
        <w:rPr>
          <w:rFonts w:ascii="David" w:hAnsi="David" w:cs="David"/>
          <w:color w:val="000000"/>
          <w:sz w:val="24"/>
          <w:szCs w:val="24"/>
          <w:u w:val="single"/>
          <w:rtl/>
        </w:rPr>
        <w:t>דיאנה כהן נ' מר שמואל מלמד</w:t>
      </w:r>
      <w:r w:rsidRPr="001C46E6">
        <w:rPr>
          <w:rFonts w:ascii="David" w:hAnsi="David" w:cs="David"/>
          <w:sz w:val="24"/>
          <w:szCs w:val="24"/>
          <w:rtl/>
        </w:rPr>
        <w:t xml:space="preserve"> (מיום 31/3/2022, הש' י' עמית, ע' ברון, ד' מינץ, ההדגשות לא במקור), וכן ר' האסמכתאות בסעיף 13 לפסק דינו של הש' י' עמית.</w:t>
      </w:r>
    </w:p>
    <w:p w:rsidR="00E0607A" w:rsidRPr="001C46E6" w:rsidRDefault="00E0607A" w:rsidP="00E0607A">
      <w:pPr>
        <w:pStyle w:val="ad"/>
        <w:spacing w:line="360" w:lineRule="auto"/>
        <w:ind w:left="1115"/>
        <w:jc w:val="both"/>
        <w:rPr>
          <w:rFonts w:ascii="David" w:hAnsi="David" w:cs="David"/>
          <w:sz w:val="24"/>
          <w:szCs w:val="24"/>
          <w:rtl/>
        </w:rPr>
      </w:pPr>
    </w:p>
    <w:p w:rsidR="00E0607A" w:rsidRDefault="00E0607A" w:rsidP="00E0607A">
      <w:pPr>
        <w:pStyle w:val="ad"/>
        <w:numPr>
          <w:ilvl w:val="0"/>
          <w:numId w:val="9"/>
        </w:numPr>
        <w:spacing w:line="360" w:lineRule="auto"/>
        <w:jc w:val="both"/>
        <w:rPr>
          <w:rFonts w:ascii="David" w:hAnsi="David" w:cs="David"/>
          <w:sz w:val="24"/>
          <w:szCs w:val="24"/>
        </w:rPr>
      </w:pPr>
      <w:r w:rsidRPr="005851DD">
        <w:rPr>
          <w:rFonts w:ascii="David" w:hAnsi="David" w:cs="David"/>
          <w:b/>
          <w:bCs/>
          <w:sz w:val="24"/>
          <w:szCs w:val="24"/>
          <w:u w:val="single"/>
          <w:rtl/>
        </w:rPr>
        <w:t>אין מדובר ב"תביעת השתקה"</w:t>
      </w:r>
      <w:r>
        <w:rPr>
          <w:rFonts w:ascii="David" w:hAnsi="David" w:cs="David"/>
          <w:sz w:val="24"/>
          <w:szCs w:val="24"/>
          <w:rtl/>
        </w:rPr>
        <w:t xml:space="preserve"> - זאת ועוד, </w:t>
      </w:r>
      <w:r w:rsidR="002D75AF">
        <w:rPr>
          <w:rFonts w:ascii="David" w:hAnsi="David" w:cs="David"/>
          <w:sz w:val="24"/>
          <w:szCs w:val="24"/>
          <w:rtl/>
        </w:rPr>
        <w:t>אין בהגשת התביעה רק כנגד  הנתבע</w:t>
      </w:r>
      <w:r>
        <w:rPr>
          <w:rFonts w:ascii="David" w:hAnsi="David" w:cs="David"/>
          <w:sz w:val="24"/>
          <w:szCs w:val="24"/>
          <w:rtl/>
        </w:rPr>
        <w:t xml:space="preserve"> כדי לשלול את הסעד לו זכאי התובע. סכומה של התביעה והסיכון שבצידה אינו מביא את ההליך לכדי דיון האם מדובר בתביעת "השתקה". גם נימוקי התביעה אינם מופרכים ואינם כאלה שיש בהם כדי לדון בחשש מתביעת "השתקה". </w:t>
      </w:r>
      <w:r>
        <w:rPr>
          <w:rFonts w:ascii="David" w:hAnsi="David" w:cs="David"/>
          <w:sz w:val="24"/>
          <w:szCs w:val="24"/>
          <w:u w:val="single"/>
          <w:rtl/>
        </w:rPr>
        <w:t>ודוק</w:t>
      </w:r>
      <w:r>
        <w:rPr>
          <w:rFonts w:ascii="David" w:hAnsi="David" w:cs="David"/>
          <w:sz w:val="24"/>
          <w:szCs w:val="24"/>
          <w:rtl/>
        </w:rPr>
        <w:t xml:space="preserve">, לא כל תביעת לשון הרע המוגשת בניסיון לקבל פיצוי ואולי אף בניסיון להרתיע מפרסום מכפיש נוסף – תיחשב לתביעת השתקה. יש להיזהר מהגדרת תביעה כ"תביעת השתקה" כאשר התביעה עצמה מוצדקת, כאשר סכום </w:t>
      </w:r>
      <w:r>
        <w:rPr>
          <w:rFonts w:ascii="David" w:hAnsi="David" w:cs="David"/>
          <w:sz w:val="24"/>
          <w:szCs w:val="24"/>
          <w:rtl/>
        </w:rPr>
        <w:lastRenderedPageBreak/>
        <w:t xml:space="preserve">התביעה אינו מופרך וכאשר לא קיים פער בלתי סביר בין התובע לנתבע מבחינת יכולתם הכספית, ואף לעיתים מעמדם הציבורי.  </w:t>
      </w:r>
    </w:p>
    <w:p w:rsidR="00E0607A" w:rsidRDefault="00E0607A" w:rsidP="00E0607A">
      <w:pPr>
        <w:pStyle w:val="ad"/>
        <w:rPr>
          <w:rFonts w:ascii="David" w:hAnsi="David" w:cs="David"/>
          <w:sz w:val="24"/>
          <w:szCs w:val="24"/>
          <w:rtl/>
        </w:rPr>
      </w:pPr>
    </w:p>
    <w:p w:rsidR="00E0607A" w:rsidRDefault="00DE78FD" w:rsidP="00E0607A">
      <w:pPr>
        <w:pStyle w:val="ad"/>
        <w:numPr>
          <w:ilvl w:val="0"/>
          <w:numId w:val="18"/>
        </w:numPr>
        <w:spacing w:line="360" w:lineRule="auto"/>
        <w:ind w:left="395"/>
        <w:jc w:val="both"/>
        <w:rPr>
          <w:rFonts w:ascii="David" w:hAnsi="David" w:cs="David"/>
          <w:color w:val="000000"/>
          <w:sz w:val="24"/>
          <w:szCs w:val="24"/>
          <w:rtl/>
        </w:rPr>
      </w:pPr>
      <w:r>
        <w:rPr>
          <w:rFonts w:ascii="David" w:hAnsi="David" w:cs="David" w:hint="cs"/>
          <w:b/>
          <w:bCs/>
          <w:sz w:val="24"/>
          <w:szCs w:val="24"/>
          <w:u w:val="single"/>
          <w:rtl/>
        </w:rPr>
        <w:t xml:space="preserve">הערה </w:t>
      </w:r>
      <w:r w:rsidR="00E0607A">
        <w:rPr>
          <w:rFonts w:ascii="David" w:hAnsi="David" w:cs="David"/>
          <w:b/>
          <w:bCs/>
          <w:sz w:val="24"/>
          <w:szCs w:val="24"/>
          <w:u w:val="single"/>
          <w:rtl/>
        </w:rPr>
        <w:t>רביעית</w:t>
      </w:r>
      <w:r w:rsidR="00E0607A">
        <w:rPr>
          <w:rFonts w:ascii="David" w:hAnsi="David" w:cs="David"/>
          <w:sz w:val="24"/>
          <w:szCs w:val="24"/>
          <w:rtl/>
        </w:rPr>
        <w:t xml:space="preserve">, נתתי דעתי לכך שהתובע הוא איש ציבור וכן להלכה לפיה אדם הבוחר לשים עצמו בחזית הציבורית, מעמיד עצמו גם לביקורת ציבורית מתמדת על פועלו, ור' למשל בש"פ 6988/19, </w:t>
      </w:r>
      <w:r w:rsidR="00E0607A">
        <w:rPr>
          <w:rFonts w:ascii="David" w:hAnsi="David" w:cs="David"/>
          <w:color w:val="000000"/>
          <w:u w:val="single"/>
          <w:rtl/>
        </w:rPr>
        <w:t>פלוני נ' הוצאת עיתון הארץ</w:t>
      </w:r>
      <w:r w:rsidR="00E0607A">
        <w:rPr>
          <w:rFonts w:ascii="David" w:hAnsi="David" w:cs="David"/>
          <w:color w:val="000000"/>
          <w:rtl/>
        </w:rPr>
        <w:t> (מיום 26/11/2019, כב' הש' ד' ברק-ארז, ד' מינץ, ע' גרוסקופ</w:t>
      </w:r>
      <w:bookmarkStart w:id="1" w:name="TOP_CASE_NUMBER"/>
      <w:bookmarkEnd w:id="1"/>
      <w:r w:rsidR="002D75AF">
        <w:rPr>
          <w:rFonts w:ascii="David" w:hAnsi="David" w:cs="David" w:hint="cs"/>
          <w:color w:val="000000"/>
          <w:rtl/>
        </w:rPr>
        <w:t>ף)</w:t>
      </w:r>
      <w:r w:rsidR="00E0607A">
        <w:rPr>
          <w:rFonts w:ascii="David" w:hAnsi="David" w:cs="David"/>
          <w:color w:val="000000"/>
        </w:rPr>
        <w:t xml:space="preserve"> </w:t>
      </w:r>
      <w:r w:rsidR="00E0607A">
        <w:rPr>
          <w:rFonts w:ascii="David" w:hAnsi="David" w:cs="David"/>
          <w:color w:val="000000"/>
          <w:sz w:val="24"/>
          <w:szCs w:val="24"/>
          <w:rtl/>
        </w:rPr>
        <w:t xml:space="preserve">. עדיין, אמירה הגורמת לכך שאדם ייחשב כמי שדמם של 45 נספי אסון </w:t>
      </w:r>
      <w:r w:rsidR="002D75AF">
        <w:rPr>
          <w:rFonts w:ascii="David" w:hAnsi="David" w:cs="David" w:hint="cs"/>
          <w:color w:val="000000"/>
          <w:sz w:val="24"/>
          <w:szCs w:val="24"/>
          <w:rtl/>
        </w:rPr>
        <w:t>"</w:t>
      </w:r>
      <w:r w:rsidR="00E0607A">
        <w:rPr>
          <w:rFonts w:ascii="David" w:hAnsi="David" w:cs="David"/>
          <w:color w:val="000000"/>
          <w:sz w:val="24"/>
          <w:szCs w:val="24"/>
          <w:rtl/>
        </w:rPr>
        <w:t>מרוח על ידיו</w:t>
      </w:r>
      <w:r w:rsidR="002D75AF">
        <w:rPr>
          <w:rFonts w:ascii="David" w:hAnsi="David" w:cs="David" w:hint="cs"/>
          <w:color w:val="000000"/>
          <w:sz w:val="24"/>
          <w:szCs w:val="24"/>
          <w:rtl/>
        </w:rPr>
        <w:t>"</w:t>
      </w:r>
      <w:r w:rsidR="00E0607A">
        <w:rPr>
          <w:rFonts w:ascii="David" w:hAnsi="David" w:cs="David"/>
          <w:color w:val="000000"/>
          <w:sz w:val="24"/>
          <w:szCs w:val="24"/>
          <w:rtl/>
        </w:rPr>
        <w:t xml:space="preserve"> – חורגת מגדר 'ביקורת על פועלו' של איש ציבור. אין לקבל אמירה כזו כאמירה מותרת שיש להקל בה ראש.</w:t>
      </w:r>
    </w:p>
    <w:p w:rsidR="00E0607A" w:rsidRDefault="00E0607A" w:rsidP="00E0607A">
      <w:pPr>
        <w:pStyle w:val="ad"/>
        <w:spacing w:line="360" w:lineRule="auto"/>
        <w:ind w:left="395"/>
        <w:jc w:val="both"/>
        <w:rPr>
          <w:rFonts w:ascii="David" w:hAnsi="David" w:cs="David"/>
          <w:color w:val="000000"/>
          <w:sz w:val="24"/>
          <w:szCs w:val="24"/>
        </w:rPr>
      </w:pPr>
    </w:p>
    <w:p w:rsidR="00E0607A" w:rsidRDefault="00DE78FD" w:rsidP="00E0607A">
      <w:pPr>
        <w:pStyle w:val="ad"/>
        <w:numPr>
          <w:ilvl w:val="0"/>
          <w:numId w:val="18"/>
        </w:numPr>
        <w:spacing w:line="360" w:lineRule="auto"/>
        <w:ind w:left="395"/>
        <w:jc w:val="both"/>
        <w:rPr>
          <w:rFonts w:ascii="David" w:hAnsi="David" w:cs="David"/>
          <w:color w:val="000000"/>
          <w:sz w:val="24"/>
          <w:szCs w:val="24"/>
        </w:rPr>
      </w:pPr>
      <w:r>
        <w:rPr>
          <w:rFonts w:ascii="David" w:hAnsi="David" w:cs="David" w:hint="cs"/>
          <w:b/>
          <w:bCs/>
          <w:color w:val="000000"/>
          <w:sz w:val="24"/>
          <w:szCs w:val="24"/>
          <w:u w:val="single"/>
          <w:rtl/>
        </w:rPr>
        <w:t xml:space="preserve">הערה </w:t>
      </w:r>
      <w:r w:rsidR="00E0607A">
        <w:rPr>
          <w:rFonts w:ascii="David" w:hAnsi="David" w:cs="David"/>
          <w:b/>
          <w:bCs/>
          <w:color w:val="000000"/>
          <w:sz w:val="24"/>
          <w:szCs w:val="24"/>
          <w:u w:val="single"/>
          <w:rtl/>
        </w:rPr>
        <w:t>חמישית</w:t>
      </w:r>
      <w:r w:rsidR="00E0607A">
        <w:rPr>
          <w:rFonts w:ascii="David" w:hAnsi="David" w:cs="David"/>
          <w:color w:val="000000"/>
          <w:sz w:val="24"/>
          <w:szCs w:val="24"/>
          <w:rtl/>
        </w:rPr>
        <w:t>, הנתבע הפנה היטב ובמקצועיות למקרים נוספים בהם נעשה שימוש באמירות דומות. גם על ידי או ביחס לתובע. בכך כיוון הנתבע לטענה לפיה מדובר במטבע לשון מקובל שאין לראותו כהוצאת לשון הרע.</w:t>
      </w:r>
    </w:p>
    <w:p w:rsidR="00E0607A" w:rsidRDefault="00E0607A" w:rsidP="00E0607A">
      <w:pPr>
        <w:pStyle w:val="ad"/>
        <w:spacing w:line="360" w:lineRule="auto"/>
        <w:ind w:left="395"/>
        <w:jc w:val="both"/>
        <w:rPr>
          <w:rFonts w:ascii="David" w:hAnsi="David" w:cs="David"/>
          <w:color w:val="000000"/>
          <w:sz w:val="24"/>
          <w:szCs w:val="24"/>
        </w:rPr>
      </w:pPr>
      <w:r>
        <w:rPr>
          <w:rFonts w:ascii="David" w:hAnsi="David" w:cs="David"/>
          <w:color w:val="000000"/>
          <w:sz w:val="24"/>
          <w:szCs w:val="24"/>
          <w:rtl/>
        </w:rPr>
        <w:t xml:space="preserve">לא אוכל לקבל טענה זו, בשל שניים: </w:t>
      </w:r>
      <w:r>
        <w:rPr>
          <w:rFonts w:ascii="David" w:hAnsi="David" w:cs="David"/>
          <w:b/>
          <w:bCs/>
          <w:color w:val="000000"/>
          <w:sz w:val="24"/>
          <w:szCs w:val="24"/>
          <w:u w:val="single"/>
          <w:rtl/>
        </w:rPr>
        <w:t>ראשית</w:t>
      </w:r>
      <w:r>
        <w:rPr>
          <w:rFonts w:ascii="David" w:hAnsi="David" w:cs="David"/>
          <w:color w:val="000000"/>
          <w:sz w:val="24"/>
          <w:szCs w:val="24"/>
          <w:rtl/>
        </w:rPr>
        <w:t xml:space="preserve">, אין מדובר באמירה כללית המתייחסת לציבור של אנשים או למכלול של פעולות, דוגמת מדיניות כללית. בעניינינו החצים הופנו לאדם ספציפי, הוא התובע, וביחס לאירוע ספציפי – תוך 'מריחת דמם' של עשרות נספי אסון הר מירון על ידיו. מדובר בהתבטאות החורגת מ"מטבע לשון" כללית; </w:t>
      </w:r>
      <w:r>
        <w:rPr>
          <w:rFonts w:ascii="David" w:hAnsi="David" w:cs="David"/>
          <w:b/>
          <w:bCs/>
          <w:color w:val="000000"/>
          <w:sz w:val="24"/>
          <w:szCs w:val="24"/>
          <w:u w:val="single"/>
          <w:rtl/>
        </w:rPr>
        <w:t>שנית</w:t>
      </w:r>
      <w:r>
        <w:rPr>
          <w:rFonts w:ascii="David" w:hAnsi="David" w:cs="David"/>
          <w:color w:val="000000"/>
          <w:sz w:val="24"/>
          <w:szCs w:val="24"/>
          <w:rtl/>
        </w:rPr>
        <w:t xml:space="preserve">, אין להשוות בין אמירה שאומר פלוני על עצמו, כגון 'שפכו את דמי', לבין אמירה שאדם אחר מפרסם על פלוני. האמירה שפלוני אומר על עצמו היא, בהגדרה, אינה הוצאת לשון הרע. לא כך עם פרסמים של צדדים שלישיים ביחס לאותו פלוני.   </w:t>
      </w:r>
    </w:p>
    <w:p w:rsidR="00E0607A" w:rsidRDefault="00E0607A" w:rsidP="00E0607A">
      <w:pPr>
        <w:pStyle w:val="ad"/>
        <w:spacing w:line="360" w:lineRule="auto"/>
        <w:ind w:left="395"/>
        <w:jc w:val="both"/>
        <w:rPr>
          <w:rFonts w:ascii="David" w:hAnsi="David" w:cs="David"/>
          <w:color w:val="000000"/>
          <w:sz w:val="24"/>
          <w:szCs w:val="24"/>
          <w:rtl/>
        </w:rPr>
      </w:pPr>
    </w:p>
    <w:p w:rsidR="00E0607A" w:rsidRDefault="00E0607A" w:rsidP="00E0607A">
      <w:pPr>
        <w:pStyle w:val="ad"/>
        <w:numPr>
          <w:ilvl w:val="1"/>
          <w:numId w:val="1"/>
        </w:numPr>
        <w:spacing w:line="360" w:lineRule="auto"/>
        <w:ind w:left="395" w:hanging="567"/>
        <w:jc w:val="both"/>
        <w:rPr>
          <w:rFonts w:ascii="David" w:hAnsi="David" w:cs="David"/>
          <w:color w:val="000000"/>
          <w:sz w:val="24"/>
          <w:szCs w:val="24"/>
        </w:rPr>
      </w:pPr>
      <w:r>
        <w:rPr>
          <w:rFonts w:ascii="David" w:hAnsi="David" w:cs="David"/>
          <w:b/>
          <w:bCs/>
          <w:color w:val="000000"/>
          <w:sz w:val="24"/>
          <w:szCs w:val="24"/>
          <w:u w:val="single"/>
          <w:rtl/>
        </w:rPr>
        <w:t>סוף דבר ביחס לפרסום הראשון</w:t>
      </w:r>
    </w:p>
    <w:p w:rsidR="00E0607A" w:rsidRDefault="00E0607A" w:rsidP="00E0607A">
      <w:pPr>
        <w:pStyle w:val="ad"/>
        <w:spacing w:line="360" w:lineRule="auto"/>
        <w:ind w:left="395"/>
        <w:jc w:val="both"/>
        <w:rPr>
          <w:rFonts w:ascii="David" w:hAnsi="David" w:cs="David"/>
          <w:color w:val="000000"/>
          <w:sz w:val="24"/>
          <w:szCs w:val="24"/>
        </w:rPr>
      </w:pPr>
      <w:r>
        <w:rPr>
          <w:rFonts w:ascii="David" w:hAnsi="David" w:cs="David"/>
          <w:color w:val="000000"/>
          <w:sz w:val="24"/>
          <w:szCs w:val="24"/>
          <w:rtl/>
        </w:rPr>
        <w:t>מכל האמור לעיל עולים הדברים הבאים:</w:t>
      </w:r>
    </w:p>
    <w:p w:rsidR="00E0607A" w:rsidRDefault="00E0607A" w:rsidP="00E0607A">
      <w:pPr>
        <w:pStyle w:val="ad"/>
        <w:numPr>
          <w:ilvl w:val="0"/>
          <w:numId w:val="19"/>
        </w:numPr>
        <w:spacing w:line="360" w:lineRule="auto"/>
        <w:jc w:val="both"/>
        <w:rPr>
          <w:rFonts w:ascii="David" w:hAnsi="David" w:cs="David"/>
          <w:color w:val="000000"/>
          <w:sz w:val="24"/>
          <w:szCs w:val="24"/>
          <w:rtl/>
        </w:rPr>
      </w:pPr>
      <w:r>
        <w:rPr>
          <w:rFonts w:ascii="David" w:hAnsi="David" w:cs="David"/>
          <w:color w:val="000000"/>
          <w:sz w:val="24"/>
          <w:szCs w:val="24"/>
          <w:rtl/>
        </w:rPr>
        <w:t xml:space="preserve">האמירה </w:t>
      </w:r>
      <w:r>
        <w:rPr>
          <w:rFonts w:ascii="David" w:hAnsi="David" w:cs="David"/>
          <w:b/>
          <w:bCs/>
          <w:color w:val="000000"/>
          <w:sz w:val="24"/>
          <w:szCs w:val="24"/>
          <w:rtl/>
        </w:rPr>
        <w:t>"דרעי, עבריין מורשע ש</w:t>
      </w:r>
      <w:r>
        <w:rPr>
          <w:rFonts w:ascii="David" w:hAnsi="David" w:cs="David"/>
          <w:b/>
          <w:bCs/>
          <w:color w:val="000000"/>
          <w:sz w:val="24"/>
          <w:szCs w:val="24"/>
          <w:u w:val="single"/>
          <w:rtl/>
        </w:rPr>
        <w:t>דמם של 45 נספי אסון מירון מרוח על ידיו</w:t>
      </w:r>
      <w:r>
        <w:rPr>
          <w:rFonts w:ascii="David" w:hAnsi="David" w:cs="David"/>
          <w:b/>
          <w:bCs/>
          <w:color w:val="000000"/>
          <w:sz w:val="24"/>
          <w:szCs w:val="24"/>
          <w:rtl/>
        </w:rPr>
        <w:t>"</w:t>
      </w:r>
      <w:r>
        <w:rPr>
          <w:rFonts w:ascii="David" w:hAnsi="David" w:cs="David"/>
          <w:color w:val="000000"/>
          <w:sz w:val="24"/>
          <w:szCs w:val="24"/>
          <w:rtl/>
        </w:rPr>
        <w:t xml:space="preserve"> אינה בגדר "פרסום מותר" החסין מביקורת הוראות חוק איסור לשון הרע. מכאן יש לבחון האם האמירה היא בגדר הוצאת לשון הרע. על כך הורחב בסעיף 3.2 לעיל. </w:t>
      </w:r>
    </w:p>
    <w:p w:rsidR="00E0607A" w:rsidRDefault="00E0607A" w:rsidP="00E0607A">
      <w:pPr>
        <w:pStyle w:val="ad"/>
        <w:spacing w:line="360" w:lineRule="auto"/>
        <w:ind w:left="755"/>
        <w:jc w:val="both"/>
        <w:rPr>
          <w:rFonts w:ascii="David" w:hAnsi="David" w:cs="David"/>
          <w:color w:val="000000"/>
          <w:sz w:val="24"/>
          <w:szCs w:val="24"/>
        </w:rPr>
      </w:pPr>
    </w:p>
    <w:p w:rsidR="00E0607A" w:rsidRDefault="00E0607A" w:rsidP="00E0607A">
      <w:pPr>
        <w:pStyle w:val="ad"/>
        <w:numPr>
          <w:ilvl w:val="0"/>
          <w:numId w:val="19"/>
        </w:numPr>
        <w:spacing w:line="360" w:lineRule="auto"/>
        <w:jc w:val="both"/>
        <w:rPr>
          <w:rFonts w:ascii="David" w:hAnsi="David" w:cs="David"/>
          <w:color w:val="000000"/>
          <w:sz w:val="24"/>
          <w:szCs w:val="24"/>
        </w:rPr>
      </w:pPr>
      <w:r>
        <w:rPr>
          <w:rFonts w:ascii="David" w:hAnsi="David" w:cs="David"/>
          <w:color w:val="000000"/>
          <w:sz w:val="24"/>
          <w:szCs w:val="24"/>
          <w:rtl/>
        </w:rPr>
        <w:t>האמירה – "עבריין מורשע", אינה בגדר הוצאת לשון הרע. על כך הורחב בסעיף 3.3 לעיל.</w:t>
      </w:r>
    </w:p>
    <w:p w:rsidR="00E0607A" w:rsidRDefault="00E0607A" w:rsidP="00E0607A">
      <w:pPr>
        <w:pStyle w:val="ad"/>
        <w:rPr>
          <w:rFonts w:ascii="David" w:hAnsi="David" w:cs="David"/>
          <w:color w:val="000000"/>
          <w:sz w:val="24"/>
          <w:szCs w:val="24"/>
        </w:rPr>
      </w:pPr>
    </w:p>
    <w:p w:rsidR="00E0607A" w:rsidRDefault="00E0607A" w:rsidP="00E0607A">
      <w:pPr>
        <w:pStyle w:val="ad"/>
        <w:numPr>
          <w:ilvl w:val="0"/>
          <w:numId w:val="19"/>
        </w:numPr>
        <w:spacing w:line="360" w:lineRule="auto"/>
        <w:jc w:val="both"/>
        <w:rPr>
          <w:rFonts w:ascii="David" w:hAnsi="David" w:cs="David"/>
          <w:color w:val="000000"/>
          <w:sz w:val="24"/>
          <w:szCs w:val="24"/>
          <w:rtl/>
        </w:rPr>
      </w:pPr>
      <w:r>
        <w:rPr>
          <w:rFonts w:ascii="David" w:hAnsi="David" w:cs="David"/>
          <w:color w:val="000000"/>
          <w:sz w:val="24"/>
          <w:szCs w:val="24"/>
          <w:rtl/>
        </w:rPr>
        <w:t>האמירה "דמם של 45 נספי אסון מירון מרוח על ידיו", היא בגדר הוצאת לשון הרע. על כך הורחב בסעיף 3.4 לעיל.</w:t>
      </w:r>
    </w:p>
    <w:p w:rsidR="00E0607A" w:rsidRDefault="00E0607A" w:rsidP="00E0607A">
      <w:pPr>
        <w:pStyle w:val="ad"/>
        <w:rPr>
          <w:rFonts w:ascii="David" w:hAnsi="David" w:cs="David"/>
          <w:color w:val="000000"/>
          <w:sz w:val="24"/>
          <w:szCs w:val="24"/>
        </w:rPr>
      </w:pPr>
    </w:p>
    <w:p w:rsidR="00E0607A" w:rsidRDefault="00E0607A" w:rsidP="00E0607A">
      <w:pPr>
        <w:pStyle w:val="ad"/>
        <w:numPr>
          <w:ilvl w:val="0"/>
          <w:numId w:val="19"/>
        </w:numPr>
        <w:spacing w:line="360" w:lineRule="auto"/>
        <w:jc w:val="both"/>
        <w:rPr>
          <w:rFonts w:ascii="David" w:hAnsi="David" w:cs="David"/>
          <w:color w:val="000000"/>
          <w:sz w:val="24"/>
          <w:szCs w:val="24"/>
          <w:rtl/>
        </w:rPr>
      </w:pPr>
      <w:r>
        <w:rPr>
          <w:rFonts w:ascii="David" w:hAnsi="David" w:cs="David"/>
          <w:color w:val="000000"/>
          <w:sz w:val="24"/>
          <w:szCs w:val="24"/>
          <w:rtl/>
        </w:rPr>
        <w:t>לנתבע לא קמה כל הגנה מכח הדין, על כך הורחב בסעיפים 3.7 – 3.5 לעיל.</w:t>
      </w:r>
    </w:p>
    <w:p w:rsidR="00E0607A" w:rsidRDefault="00E0607A" w:rsidP="00E0607A">
      <w:pPr>
        <w:pStyle w:val="ad"/>
        <w:rPr>
          <w:rFonts w:ascii="David" w:hAnsi="David" w:cs="David"/>
          <w:color w:val="000000"/>
          <w:sz w:val="24"/>
          <w:szCs w:val="24"/>
        </w:rPr>
      </w:pPr>
    </w:p>
    <w:p w:rsidR="00E0607A" w:rsidRDefault="00E0607A" w:rsidP="00E0607A">
      <w:pPr>
        <w:pStyle w:val="ad"/>
        <w:spacing w:line="360" w:lineRule="auto"/>
        <w:ind w:left="395"/>
        <w:jc w:val="both"/>
        <w:rPr>
          <w:rFonts w:ascii="David" w:hAnsi="David" w:cs="David"/>
          <w:color w:val="000000"/>
          <w:sz w:val="24"/>
          <w:szCs w:val="24"/>
          <w:rtl/>
        </w:rPr>
      </w:pPr>
      <w:r>
        <w:rPr>
          <w:rFonts w:ascii="David" w:hAnsi="David" w:cs="David"/>
          <w:color w:val="000000"/>
          <w:sz w:val="24"/>
          <w:szCs w:val="24"/>
          <w:rtl/>
        </w:rPr>
        <w:t>מכאן, הנתבע אכן עוול כלפ</w:t>
      </w:r>
      <w:r w:rsidR="006944AD">
        <w:rPr>
          <w:rFonts w:ascii="David" w:hAnsi="David" w:cs="David"/>
          <w:color w:val="000000"/>
          <w:sz w:val="24"/>
          <w:szCs w:val="24"/>
          <w:rtl/>
        </w:rPr>
        <w:t>י התובע בהוצאת לשון הרע, בכל הק</w:t>
      </w:r>
      <w:r>
        <w:rPr>
          <w:rFonts w:ascii="David" w:hAnsi="David" w:cs="David"/>
          <w:color w:val="000000"/>
          <w:sz w:val="24"/>
          <w:szCs w:val="24"/>
          <w:rtl/>
        </w:rPr>
        <w:t>ש</w:t>
      </w:r>
      <w:r w:rsidR="006944AD">
        <w:rPr>
          <w:rFonts w:ascii="David" w:hAnsi="David" w:cs="David" w:hint="cs"/>
          <w:color w:val="000000"/>
          <w:sz w:val="24"/>
          <w:szCs w:val="24"/>
          <w:rtl/>
        </w:rPr>
        <w:t>ו</w:t>
      </w:r>
      <w:r>
        <w:rPr>
          <w:rFonts w:ascii="David" w:hAnsi="David" w:cs="David"/>
          <w:color w:val="000000"/>
          <w:sz w:val="24"/>
          <w:szCs w:val="24"/>
          <w:rtl/>
        </w:rPr>
        <w:t xml:space="preserve">ר לאמירה לפיה "דמם של 45 נספי אסון מירון מרוח על ידיו". הסעדים בגין עוולה זו יידונו במסגרת סעיף 5 בסיומו של פסק הדין.  </w:t>
      </w:r>
    </w:p>
    <w:p w:rsidR="006944AD" w:rsidRDefault="006944AD" w:rsidP="00E0607A">
      <w:pPr>
        <w:pStyle w:val="ad"/>
        <w:spacing w:line="360" w:lineRule="auto"/>
        <w:ind w:left="-739"/>
        <w:jc w:val="both"/>
        <w:rPr>
          <w:rFonts w:ascii="David" w:hAnsi="David" w:cs="David"/>
          <w:b/>
          <w:bCs/>
          <w:color w:val="000000"/>
          <w:sz w:val="24"/>
          <w:szCs w:val="24"/>
          <w:rtl/>
        </w:rPr>
      </w:pPr>
    </w:p>
    <w:p w:rsidR="00E0607A" w:rsidRDefault="00E0607A" w:rsidP="006944AD">
      <w:pPr>
        <w:pStyle w:val="ad"/>
        <w:spacing w:line="360" w:lineRule="auto"/>
        <w:ind w:left="-739"/>
        <w:jc w:val="both"/>
        <w:rPr>
          <w:rFonts w:ascii="David" w:hAnsi="David" w:cs="David"/>
          <w:b/>
          <w:bCs/>
          <w:color w:val="000000"/>
          <w:sz w:val="24"/>
          <w:szCs w:val="24"/>
          <w:rtl/>
        </w:rPr>
      </w:pPr>
      <w:r>
        <w:rPr>
          <w:rFonts w:ascii="David" w:hAnsi="David" w:cs="David"/>
          <w:b/>
          <w:bCs/>
          <w:color w:val="000000"/>
          <w:sz w:val="24"/>
          <w:szCs w:val="24"/>
          <w:rtl/>
        </w:rPr>
        <w:t>הערת מעבר – עד כאן הדיון בפרסום הראשון מבין שניים. כעת יתייחס פסק הדין לפרסום השני בגינו הוגשה התביעה.</w:t>
      </w:r>
    </w:p>
    <w:p w:rsidR="00E0607A" w:rsidRDefault="00E0607A" w:rsidP="00E0607A">
      <w:pPr>
        <w:pStyle w:val="ad"/>
        <w:spacing w:line="360" w:lineRule="auto"/>
        <w:ind w:left="-739"/>
        <w:jc w:val="both"/>
        <w:rPr>
          <w:rFonts w:ascii="David" w:hAnsi="David" w:cs="David"/>
          <w:color w:val="000000"/>
          <w:sz w:val="24"/>
          <w:szCs w:val="24"/>
          <w:rtl/>
        </w:rPr>
      </w:pPr>
    </w:p>
    <w:p w:rsidR="00E0607A" w:rsidRDefault="00E0607A" w:rsidP="00E0607A">
      <w:pPr>
        <w:pStyle w:val="ad"/>
        <w:numPr>
          <w:ilvl w:val="0"/>
          <w:numId w:val="1"/>
        </w:numPr>
        <w:spacing w:line="360" w:lineRule="auto"/>
        <w:ind w:left="-172" w:hanging="284"/>
        <w:jc w:val="both"/>
        <w:rPr>
          <w:rFonts w:ascii="David" w:hAnsi="David" w:cs="David"/>
          <w:color w:val="000000"/>
          <w:sz w:val="28"/>
          <w:szCs w:val="28"/>
        </w:rPr>
      </w:pPr>
      <w:r>
        <w:rPr>
          <w:rFonts w:ascii="David" w:hAnsi="David" w:cs="David"/>
          <w:b/>
          <w:bCs/>
          <w:color w:val="000000"/>
          <w:sz w:val="28"/>
          <w:szCs w:val="28"/>
          <w:u w:val="single"/>
          <w:rtl/>
        </w:rPr>
        <w:t>דיון בפרסום השני משניים בגינו הוגשה התביעה (יש לדחות התביעה ביחס לפרסום זה</w:t>
      </w:r>
      <w:r>
        <w:rPr>
          <w:rFonts w:ascii="David" w:hAnsi="David" w:cs="David"/>
          <w:color w:val="000000"/>
          <w:sz w:val="28"/>
          <w:szCs w:val="28"/>
          <w:rtl/>
        </w:rPr>
        <w:t>)</w:t>
      </w:r>
    </w:p>
    <w:p w:rsidR="00E0607A" w:rsidRDefault="00E0607A" w:rsidP="00E0607A">
      <w:pPr>
        <w:pStyle w:val="ad"/>
        <w:numPr>
          <w:ilvl w:val="1"/>
          <w:numId w:val="1"/>
        </w:numPr>
        <w:spacing w:line="360" w:lineRule="auto"/>
        <w:ind w:left="395" w:hanging="567"/>
        <w:jc w:val="both"/>
        <w:rPr>
          <w:rFonts w:ascii="David" w:hAnsi="David" w:cs="David"/>
          <w:color w:val="000000"/>
          <w:sz w:val="24"/>
          <w:szCs w:val="24"/>
        </w:rPr>
      </w:pPr>
      <w:r>
        <w:rPr>
          <w:rFonts w:ascii="David" w:hAnsi="David" w:cs="David"/>
          <w:color w:val="000000"/>
          <w:sz w:val="24"/>
          <w:szCs w:val="24"/>
          <w:rtl/>
        </w:rPr>
        <w:t xml:space="preserve">התביעה הוגשה גם בגין פרסום מיום 24/12/2021 בו הופיעה התייחסות לוועדת החקירה הממלכתית לחקר אסון הר מירון ונאמר כך (ההדגשות לא במקור): </w:t>
      </w:r>
      <w:r>
        <w:rPr>
          <w:rFonts w:ascii="David" w:hAnsi="David" w:cs="David"/>
          <w:b/>
          <w:bCs/>
          <w:color w:val="000000"/>
          <w:sz w:val="24"/>
          <w:szCs w:val="24"/>
          <w:rtl/>
        </w:rPr>
        <w:t>"בפני הוועדה הזו נשמעו, עד עכשיו, עדויות מפי היועצת המשפטית של משרד הדתות, הרל"שית של מפקד מחוז הצפון במשטרה ועדים נוספים,</w:t>
      </w:r>
      <w:r>
        <w:rPr>
          <w:rFonts w:ascii="David" w:hAnsi="David" w:cs="David"/>
          <w:b/>
          <w:bCs/>
          <w:color w:val="000000"/>
          <w:sz w:val="24"/>
          <w:szCs w:val="24"/>
          <w:u w:val="single"/>
          <w:rtl/>
        </w:rPr>
        <w:t xml:space="preserve"> שמהן עולה בוודאות שהדחיפה לקיומה של הילולת מירון במתכונת הרגילה שלה, ללא הגבלות כלשהן, הגיעה מדרעי.</w:t>
      </w:r>
      <w:r>
        <w:rPr>
          <w:rFonts w:ascii="David" w:hAnsi="David" w:cs="David"/>
          <w:b/>
          <w:bCs/>
          <w:color w:val="000000"/>
          <w:sz w:val="24"/>
          <w:szCs w:val="24"/>
          <w:rtl/>
        </w:rPr>
        <w:t xml:space="preserve"> היו עדים שטענו שמדובר גם בלחץ מאסיבי של השר לביטחון הפנים אמיר אוחנה. היו עדים שאמרו שמאחורי שני אלה היה לחץ כבד של נתניהו. </w:t>
      </w:r>
      <w:r>
        <w:rPr>
          <w:rFonts w:ascii="David" w:hAnsi="David" w:cs="David"/>
          <w:b/>
          <w:bCs/>
          <w:color w:val="000000"/>
          <w:sz w:val="24"/>
          <w:szCs w:val="24"/>
          <w:u w:val="single"/>
          <w:rtl/>
        </w:rPr>
        <w:t>המעורבות של דרעי לקיים את ההילולה בלי הגבלת כניסה עולה בעדויות הללו בבירור. על פי היועמ"שית של משרד הדתות, דרעי "ביטל" את השר המכהן במשרד, נכנס לנעליו וניהל את העסק</w:t>
      </w:r>
      <w:r>
        <w:rPr>
          <w:rFonts w:ascii="David" w:hAnsi="David" w:cs="David"/>
          <w:b/>
          <w:bCs/>
          <w:color w:val="000000"/>
          <w:sz w:val="24"/>
          <w:szCs w:val="24"/>
          <w:rtl/>
        </w:rPr>
        <w:t>."</w:t>
      </w:r>
    </w:p>
    <w:p w:rsidR="00E0607A" w:rsidRDefault="00E0607A" w:rsidP="00E0607A">
      <w:pPr>
        <w:pStyle w:val="ad"/>
        <w:spacing w:line="360" w:lineRule="auto"/>
        <w:ind w:left="395"/>
        <w:jc w:val="both"/>
        <w:rPr>
          <w:rFonts w:ascii="David" w:hAnsi="David" w:cs="David"/>
          <w:color w:val="000000"/>
          <w:sz w:val="24"/>
          <w:szCs w:val="24"/>
        </w:rPr>
      </w:pPr>
    </w:p>
    <w:p w:rsidR="00E0607A" w:rsidRDefault="00E0607A" w:rsidP="00E0607A">
      <w:pPr>
        <w:pStyle w:val="ad"/>
        <w:numPr>
          <w:ilvl w:val="1"/>
          <w:numId w:val="1"/>
        </w:numPr>
        <w:spacing w:line="360" w:lineRule="auto"/>
        <w:ind w:left="395" w:hanging="567"/>
        <w:jc w:val="both"/>
        <w:rPr>
          <w:rFonts w:ascii="David" w:hAnsi="David" w:cs="David"/>
          <w:color w:val="000000"/>
          <w:sz w:val="24"/>
          <w:szCs w:val="24"/>
        </w:rPr>
      </w:pPr>
      <w:r>
        <w:rPr>
          <w:rFonts w:ascii="David" w:hAnsi="David" w:cs="David"/>
          <w:color w:val="000000"/>
          <w:sz w:val="24"/>
          <w:szCs w:val="24"/>
          <w:rtl/>
        </w:rPr>
        <w:t>קורא סביר אשר נחשף לפרסום לומד שבפני הוועדה לחקירת אסון מירון נשמעו עדויות שונות, בין היתר מפי היועצת המשפטית של משרד הדתות ומפי רל"שית מפקד מחוז צפון – עד כאן, אין באמירות אלה כל הוצאת לשון הרע ביחס לתובע.</w:t>
      </w:r>
    </w:p>
    <w:p w:rsidR="00E0607A" w:rsidRDefault="00E0607A" w:rsidP="00E0607A">
      <w:pPr>
        <w:pStyle w:val="ad"/>
        <w:rPr>
          <w:rFonts w:ascii="David" w:hAnsi="David" w:cs="David"/>
          <w:color w:val="000000"/>
          <w:sz w:val="24"/>
          <w:szCs w:val="24"/>
        </w:rPr>
      </w:pPr>
    </w:p>
    <w:p w:rsidR="00E0607A" w:rsidRDefault="00E0607A" w:rsidP="006944AD">
      <w:pPr>
        <w:pStyle w:val="ad"/>
        <w:numPr>
          <w:ilvl w:val="1"/>
          <w:numId w:val="1"/>
        </w:numPr>
        <w:spacing w:line="360" w:lineRule="auto"/>
        <w:ind w:left="395" w:hanging="567"/>
        <w:jc w:val="both"/>
        <w:rPr>
          <w:rFonts w:ascii="David" w:hAnsi="David" w:cs="David"/>
          <w:color w:val="000000"/>
          <w:sz w:val="24"/>
          <w:szCs w:val="24"/>
          <w:rtl/>
        </w:rPr>
      </w:pPr>
      <w:r>
        <w:rPr>
          <w:rFonts w:ascii="David" w:hAnsi="David" w:cs="David"/>
          <w:color w:val="000000"/>
          <w:sz w:val="24"/>
          <w:szCs w:val="24"/>
          <w:rtl/>
        </w:rPr>
        <w:t>קורא סביר אשר נחשף לפרסום לומד עוד, שלטעמו של הנתבע, מהעדויות עולה שהתובע הוא זה ש"דחף" לקיום האירוע בהר מירון ללא כל הגבלות או מגבלת כניסה</w:t>
      </w:r>
      <w:r w:rsidR="006944AD">
        <w:rPr>
          <w:rFonts w:ascii="David" w:hAnsi="David" w:cs="David" w:hint="cs"/>
          <w:color w:val="000000"/>
          <w:sz w:val="24"/>
          <w:szCs w:val="24"/>
          <w:rtl/>
        </w:rPr>
        <w:t xml:space="preserve">. עוד עולה </w:t>
      </w:r>
      <w:r>
        <w:rPr>
          <w:rFonts w:ascii="David" w:hAnsi="David" w:cs="David"/>
          <w:color w:val="000000"/>
          <w:sz w:val="24"/>
          <w:szCs w:val="24"/>
          <w:rtl/>
        </w:rPr>
        <w:t xml:space="preserve">טענה לפיה התובע נכנס לנעלי השר "המכהן במשרד" ואף "ניהל את העסק". </w:t>
      </w:r>
      <w:r w:rsidR="006944AD">
        <w:rPr>
          <w:rFonts w:ascii="David" w:hAnsi="David" w:cs="David" w:hint="cs"/>
          <w:color w:val="000000"/>
          <w:sz w:val="24"/>
          <w:szCs w:val="24"/>
          <w:rtl/>
        </w:rPr>
        <w:t xml:space="preserve">בנוסף </w:t>
      </w:r>
      <w:r>
        <w:rPr>
          <w:rFonts w:ascii="David" w:hAnsi="David" w:cs="David"/>
          <w:color w:val="000000"/>
          <w:sz w:val="24"/>
          <w:szCs w:val="24"/>
          <w:rtl/>
        </w:rPr>
        <w:t>עולה שנשמעו עדויות בדבר "לחץ מסיבי" של השר לבטחון פנים אמיר אוחנה וראש הממשלה בנימין נתניהו.</w:t>
      </w:r>
    </w:p>
    <w:p w:rsidR="00E0607A" w:rsidRDefault="00E0607A" w:rsidP="00E0607A">
      <w:pPr>
        <w:pStyle w:val="ad"/>
        <w:rPr>
          <w:rFonts w:ascii="David" w:hAnsi="David" w:cs="David"/>
          <w:color w:val="000000"/>
          <w:sz w:val="24"/>
          <w:szCs w:val="24"/>
        </w:rPr>
      </w:pPr>
    </w:p>
    <w:p w:rsidR="00E0607A" w:rsidRDefault="00E0607A" w:rsidP="006944AD">
      <w:pPr>
        <w:pStyle w:val="ad"/>
        <w:spacing w:line="360" w:lineRule="auto"/>
        <w:ind w:left="395"/>
        <w:jc w:val="both"/>
        <w:rPr>
          <w:rFonts w:ascii="David" w:hAnsi="David" w:cs="David"/>
          <w:color w:val="000000"/>
          <w:sz w:val="24"/>
          <w:szCs w:val="24"/>
          <w:rtl/>
        </w:rPr>
      </w:pPr>
      <w:r>
        <w:rPr>
          <w:rFonts w:ascii="David" w:hAnsi="David" w:cs="David"/>
          <w:color w:val="000000"/>
          <w:sz w:val="24"/>
          <w:szCs w:val="24"/>
          <w:rtl/>
        </w:rPr>
        <w:t xml:space="preserve">כך או כך, ברור לכל מי שקרא את הפרסום, שהמגבלות המופיעות בו הן </w:t>
      </w:r>
      <w:r w:rsidRPr="006944AD">
        <w:rPr>
          <w:rFonts w:ascii="David" w:hAnsi="David" w:cs="David"/>
          <w:color w:val="000000"/>
          <w:sz w:val="24"/>
          <w:szCs w:val="24"/>
          <w:u w:val="single"/>
          <w:rtl/>
        </w:rPr>
        <w:t>מגבלות מגפת הקורונה</w:t>
      </w:r>
      <w:r>
        <w:rPr>
          <w:rFonts w:ascii="David" w:hAnsi="David" w:cs="David"/>
          <w:color w:val="000000"/>
          <w:sz w:val="24"/>
          <w:szCs w:val="24"/>
          <w:rtl/>
        </w:rPr>
        <w:t xml:space="preserve"> שפשתה במועדים הרלוונטיים בישראל ובעולם כולו. ברור עוד שהמגבלות אותן לכאורה ביקשו להסיר הן מגבלות התקהלות שהיו בתקופת מגפת הקורונה ובוודאי </w:t>
      </w:r>
      <w:r>
        <w:rPr>
          <w:rFonts w:ascii="David" w:hAnsi="David" w:cs="David"/>
          <w:color w:val="000000"/>
          <w:sz w:val="24"/>
          <w:szCs w:val="24"/>
          <w:u w:val="single"/>
          <w:rtl/>
        </w:rPr>
        <w:t>לא מגבלות בטיחות</w:t>
      </w:r>
      <w:r>
        <w:rPr>
          <w:rFonts w:ascii="David" w:hAnsi="David" w:cs="David"/>
          <w:color w:val="000000"/>
          <w:sz w:val="24"/>
          <w:szCs w:val="24"/>
          <w:rtl/>
        </w:rPr>
        <w:t>.</w:t>
      </w:r>
    </w:p>
    <w:p w:rsidR="00E0607A" w:rsidRDefault="00E0607A" w:rsidP="00E0607A">
      <w:pPr>
        <w:pStyle w:val="ad"/>
        <w:spacing w:line="360" w:lineRule="auto"/>
        <w:ind w:left="395"/>
        <w:jc w:val="both"/>
        <w:rPr>
          <w:rFonts w:ascii="David" w:hAnsi="David" w:cs="David"/>
          <w:color w:val="000000"/>
          <w:sz w:val="24"/>
          <w:szCs w:val="24"/>
          <w:rtl/>
        </w:rPr>
      </w:pPr>
    </w:p>
    <w:p w:rsidR="00E0607A" w:rsidRDefault="00E0607A" w:rsidP="00E0607A">
      <w:pPr>
        <w:pStyle w:val="ad"/>
        <w:numPr>
          <w:ilvl w:val="1"/>
          <w:numId w:val="1"/>
        </w:numPr>
        <w:spacing w:line="360" w:lineRule="auto"/>
        <w:ind w:left="395" w:hanging="567"/>
        <w:jc w:val="both"/>
        <w:rPr>
          <w:rFonts w:ascii="David" w:hAnsi="David" w:cs="David"/>
          <w:color w:val="000000"/>
          <w:sz w:val="24"/>
          <w:szCs w:val="24"/>
          <w:rtl/>
        </w:rPr>
      </w:pPr>
      <w:r>
        <w:rPr>
          <w:rFonts w:ascii="David" w:hAnsi="David" w:cs="David"/>
          <w:color w:val="000000"/>
          <w:sz w:val="24"/>
          <w:szCs w:val="24"/>
          <w:rtl/>
        </w:rPr>
        <w:t>עיון בפרסום השני מביא, לטעמי לקביעה לפיה אין בו משום הוצאת לשון הרע והוא אינו פוגע בשמו הטוב של התובע או בכבודו. הפרסום לא משפיל את התובע, לא שם אותו כ"מטרה לשנאה, לבוז או ללעג". הפרסום אינו מהווה הוצאת לשון הרע וזאת בשל הנימוקים הבאים:</w:t>
      </w:r>
    </w:p>
    <w:p w:rsidR="00E0607A" w:rsidRDefault="00E0607A" w:rsidP="00E0607A">
      <w:pPr>
        <w:pStyle w:val="ad"/>
        <w:spacing w:line="360" w:lineRule="auto"/>
        <w:ind w:left="395"/>
        <w:jc w:val="both"/>
        <w:rPr>
          <w:rFonts w:ascii="David" w:hAnsi="David" w:cs="David"/>
          <w:color w:val="000000"/>
          <w:sz w:val="24"/>
          <w:szCs w:val="24"/>
        </w:rPr>
      </w:pPr>
    </w:p>
    <w:p w:rsidR="00E0607A" w:rsidRDefault="006944AD" w:rsidP="006944AD">
      <w:pPr>
        <w:pStyle w:val="ad"/>
        <w:numPr>
          <w:ilvl w:val="0"/>
          <w:numId w:val="20"/>
        </w:numPr>
        <w:spacing w:line="360" w:lineRule="auto"/>
        <w:jc w:val="both"/>
        <w:rPr>
          <w:rFonts w:ascii="David" w:hAnsi="David" w:cs="David"/>
          <w:color w:val="000000"/>
          <w:sz w:val="24"/>
          <w:szCs w:val="24"/>
          <w:rtl/>
        </w:rPr>
      </w:pPr>
      <w:r>
        <w:rPr>
          <w:rFonts w:ascii="David" w:hAnsi="David" w:cs="David" w:hint="cs"/>
          <w:b/>
          <w:bCs/>
          <w:color w:val="000000"/>
          <w:sz w:val="24"/>
          <w:szCs w:val="24"/>
          <w:u w:val="single"/>
          <w:rtl/>
        </w:rPr>
        <w:t>נימוק ראשון משניים מדוע הפרסום אינו בגדר הוצאת לשון הרע</w:t>
      </w:r>
      <w:r w:rsidR="00E0607A">
        <w:rPr>
          <w:rFonts w:ascii="David" w:hAnsi="David" w:cs="David"/>
          <w:color w:val="000000"/>
          <w:sz w:val="24"/>
          <w:szCs w:val="24"/>
          <w:rtl/>
        </w:rPr>
        <w:t>, הפרסום הוא הפעם בגדר תיאור עובדות והבאת דברים בשם אומרם. הפרסום לא מייחס לתובע אשם ישיר כלשהו במותם של נספי האסון, אלא מתאר עדויות של נחקרים אחרים בוועדה.</w:t>
      </w:r>
    </w:p>
    <w:p w:rsidR="00E0607A" w:rsidRDefault="00E0607A" w:rsidP="00E0607A">
      <w:pPr>
        <w:pStyle w:val="ad"/>
        <w:spacing w:line="360" w:lineRule="auto"/>
        <w:ind w:left="755"/>
        <w:jc w:val="both"/>
        <w:rPr>
          <w:rFonts w:ascii="David" w:hAnsi="David" w:cs="David"/>
          <w:color w:val="000000"/>
          <w:sz w:val="24"/>
          <w:szCs w:val="24"/>
        </w:rPr>
      </w:pPr>
    </w:p>
    <w:p w:rsidR="00E0607A" w:rsidRDefault="006944AD" w:rsidP="006944AD">
      <w:pPr>
        <w:pStyle w:val="ad"/>
        <w:numPr>
          <w:ilvl w:val="0"/>
          <w:numId w:val="20"/>
        </w:numPr>
        <w:spacing w:line="360" w:lineRule="auto"/>
        <w:jc w:val="both"/>
        <w:rPr>
          <w:rFonts w:ascii="David" w:hAnsi="David" w:cs="David"/>
          <w:color w:val="000000"/>
          <w:sz w:val="24"/>
          <w:szCs w:val="24"/>
        </w:rPr>
      </w:pPr>
      <w:r>
        <w:rPr>
          <w:rFonts w:ascii="David" w:hAnsi="David" w:cs="David" w:hint="cs"/>
          <w:b/>
          <w:bCs/>
          <w:color w:val="000000"/>
          <w:sz w:val="24"/>
          <w:szCs w:val="24"/>
          <w:u w:val="single"/>
          <w:rtl/>
        </w:rPr>
        <w:t xml:space="preserve">נימוק </w:t>
      </w:r>
      <w:r w:rsidR="00E0607A">
        <w:rPr>
          <w:rFonts w:ascii="David" w:hAnsi="David" w:cs="David"/>
          <w:b/>
          <w:bCs/>
          <w:color w:val="000000"/>
          <w:sz w:val="24"/>
          <w:szCs w:val="24"/>
          <w:u w:val="single"/>
          <w:rtl/>
        </w:rPr>
        <w:t>שני ועיקר</w:t>
      </w:r>
      <w:r>
        <w:rPr>
          <w:rFonts w:ascii="David" w:hAnsi="David" w:cs="David" w:hint="cs"/>
          <w:b/>
          <w:bCs/>
          <w:color w:val="000000"/>
          <w:sz w:val="24"/>
          <w:szCs w:val="24"/>
          <w:u w:val="single"/>
          <w:rtl/>
        </w:rPr>
        <w:t>י מדוע הפרסום אינו בגדר הוצאת לשון הרע</w:t>
      </w:r>
      <w:r w:rsidR="00E0607A">
        <w:rPr>
          <w:rFonts w:ascii="David" w:hAnsi="David" w:cs="David"/>
          <w:color w:val="000000"/>
          <w:sz w:val="24"/>
          <w:szCs w:val="24"/>
          <w:rtl/>
        </w:rPr>
        <w:t xml:space="preserve">,  מי האחראים לאסון בו נהרגו עשרות מהמתקהלים בהר מירון? התשובה לכך תינתן, כך יש לקוות, במסגרת דו"ח המסקנות הסופיות של ועדת החקירה שמונתה או במסגרת הליכים שיינקטו לאחריו. </w:t>
      </w:r>
    </w:p>
    <w:p w:rsidR="00E0607A" w:rsidRDefault="00E0607A" w:rsidP="00E0607A">
      <w:pPr>
        <w:pStyle w:val="ad"/>
        <w:spacing w:line="360" w:lineRule="auto"/>
        <w:ind w:left="755"/>
        <w:jc w:val="both"/>
        <w:rPr>
          <w:rFonts w:ascii="David" w:hAnsi="David" w:cs="David"/>
          <w:color w:val="000000"/>
          <w:sz w:val="24"/>
          <w:szCs w:val="24"/>
        </w:rPr>
      </w:pPr>
      <w:r>
        <w:rPr>
          <w:rFonts w:ascii="David" w:hAnsi="David" w:cs="David"/>
          <w:color w:val="000000"/>
          <w:sz w:val="24"/>
          <w:szCs w:val="24"/>
          <w:rtl/>
        </w:rPr>
        <w:lastRenderedPageBreak/>
        <w:t>אך כבר בשלב זה ולמעשה כבר בקרות האסון הנורא – היה ברור שהנספים לא נהרגו בשל מגפת הקורונה. לא נגיף הקורונה גרם להרג ההמוני בהילולת הר מירון. מכאן, גם המקטרגים המחמירים ביותר ייאלצו להודות שמהפרסום עולה, לכל היותר, שהתובע התנהל תוך התייחסות ל</w:t>
      </w:r>
      <w:r>
        <w:rPr>
          <w:rFonts w:ascii="David" w:hAnsi="David" w:cs="David"/>
          <w:color w:val="000000"/>
          <w:sz w:val="24"/>
          <w:szCs w:val="24"/>
          <w:u w:val="single"/>
          <w:rtl/>
        </w:rPr>
        <w:t>מגבלות מגפת הקורונה</w:t>
      </w:r>
      <w:r>
        <w:rPr>
          <w:rFonts w:ascii="David" w:hAnsi="David" w:cs="David"/>
          <w:color w:val="000000"/>
          <w:sz w:val="24"/>
          <w:szCs w:val="24"/>
          <w:rtl/>
        </w:rPr>
        <w:t>, ולא למגבלות בטיחות. אין אמירה או בדל אמירה ממנה ניתן להבין שהתובע בז להוראות בטיחות או ביקש לבטלן. אפילו האמור בעדויות נכון, הרי כל שעולה ממנו הוא שהתובע ביקש לאפשר התקהלות כבעבר באירוע בהר מירון.</w:t>
      </w:r>
    </w:p>
    <w:p w:rsidR="00E0607A" w:rsidRDefault="00E0607A" w:rsidP="00E0607A">
      <w:pPr>
        <w:pStyle w:val="ad"/>
        <w:spacing w:line="360" w:lineRule="auto"/>
        <w:ind w:left="-739"/>
        <w:jc w:val="both"/>
        <w:rPr>
          <w:rFonts w:ascii="David" w:hAnsi="David" w:cs="David"/>
          <w:color w:val="000000"/>
          <w:sz w:val="24"/>
          <w:szCs w:val="24"/>
          <w:rtl/>
        </w:rPr>
      </w:pPr>
    </w:p>
    <w:p w:rsidR="00E0607A" w:rsidRDefault="00E0607A" w:rsidP="00E0607A">
      <w:pPr>
        <w:pStyle w:val="ad"/>
        <w:numPr>
          <w:ilvl w:val="0"/>
          <w:numId w:val="1"/>
        </w:numPr>
        <w:spacing w:line="360" w:lineRule="auto"/>
        <w:ind w:left="-172" w:hanging="284"/>
        <w:jc w:val="both"/>
        <w:rPr>
          <w:rFonts w:ascii="David" w:hAnsi="David" w:cs="David"/>
          <w:color w:val="000000"/>
          <w:sz w:val="24"/>
          <w:szCs w:val="24"/>
        </w:rPr>
      </w:pPr>
      <w:r>
        <w:rPr>
          <w:rFonts w:ascii="David" w:hAnsi="David" w:cs="David"/>
          <w:b/>
          <w:bCs/>
          <w:color w:val="000000"/>
          <w:sz w:val="24"/>
          <w:szCs w:val="24"/>
          <w:u w:val="single"/>
          <w:rtl/>
        </w:rPr>
        <w:t>הסעדים בהם יש לחייב את הנתבע בשל עוולת הוצאת לשון הרע במסגרת הפרסום הראשון</w:t>
      </w:r>
    </w:p>
    <w:p w:rsidR="006944AD" w:rsidRPr="006944AD" w:rsidRDefault="006944AD" w:rsidP="00E0607A">
      <w:pPr>
        <w:pStyle w:val="ad"/>
        <w:numPr>
          <w:ilvl w:val="1"/>
          <w:numId w:val="1"/>
        </w:numPr>
        <w:spacing w:line="360" w:lineRule="auto"/>
        <w:ind w:left="395" w:hanging="567"/>
        <w:jc w:val="both"/>
        <w:rPr>
          <w:rFonts w:ascii="David" w:hAnsi="David" w:cs="David"/>
          <w:b/>
          <w:bCs/>
          <w:color w:val="000000"/>
          <w:sz w:val="24"/>
          <w:szCs w:val="24"/>
          <w:u w:val="single"/>
        </w:rPr>
      </w:pPr>
      <w:r w:rsidRPr="006944AD">
        <w:rPr>
          <w:rFonts w:ascii="David" w:hAnsi="David" w:cs="David" w:hint="cs"/>
          <w:b/>
          <w:bCs/>
          <w:color w:val="000000"/>
          <w:sz w:val="24"/>
          <w:szCs w:val="24"/>
          <w:u w:val="single"/>
          <w:rtl/>
        </w:rPr>
        <w:t>כללי</w:t>
      </w:r>
    </w:p>
    <w:p w:rsidR="00E0607A" w:rsidRDefault="00E0607A" w:rsidP="006944AD">
      <w:pPr>
        <w:pStyle w:val="ad"/>
        <w:spacing w:line="360" w:lineRule="auto"/>
        <w:ind w:left="395"/>
        <w:jc w:val="both"/>
        <w:rPr>
          <w:rFonts w:ascii="David" w:hAnsi="David" w:cs="David"/>
          <w:color w:val="000000"/>
          <w:sz w:val="24"/>
          <w:szCs w:val="24"/>
        </w:rPr>
      </w:pPr>
      <w:r>
        <w:rPr>
          <w:rFonts w:ascii="David" w:hAnsi="David" w:cs="David"/>
          <w:color w:val="000000"/>
          <w:sz w:val="24"/>
          <w:szCs w:val="24"/>
          <w:rtl/>
        </w:rPr>
        <w:t xml:space="preserve">התובע עותר לחיוב הנתבע בשניים: </w:t>
      </w:r>
    </w:p>
    <w:p w:rsidR="00E0607A" w:rsidRDefault="00E0607A" w:rsidP="00E0607A">
      <w:pPr>
        <w:pStyle w:val="ad"/>
        <w:numPr>
          <w:ilvl w:val="0"/>
          <w:numId w:val="9"/>
        </w:numPr>
        <w:spacing w:line="360" w:lineRule="auto"/>
        <w:jc w:val="both"/>
        <w:rPr>
          <w:rFonts w:ascii="David" w:hAnsi="David" w:cs="David"/>
          <w:color w:val="000000"/>
          <w:sz w:val="24"/>
          <w:szCs w:val="24"/>
        </w:rPr>
      </w:pPr>
      <w:r>
        <w:rPr>
          <w:rFonts w:ascii="David" w:hAnsi="David" w:cs="David"/>
          <w:color w:val="000000"/>
          <w:sz w:val="24"/>
          <w:szCs w:val="24"/>
          <w:u w:val="single"/>
          <w:rtl/>
        </w:rPr>
        <w:t>פרסום הודעת תיקון או הכחשה</w:t>
      </w:r>
      <w:r>
        <w:rPr>
          <w:rFonts w:ascii="David" w:hAnsi="David" w:cs="David"/>
          <w:color w:val="000000"/>
          <w:sz w:val="24"/>
          <w:szCs w:val="24"/>
          <w:rtl/>
        </w:rPr>
        <w:t xml:space="preserve"> - חיוב הנתבע לפרסם הודעת תיקון או הכחשה, בטורו הקבוע בעיתון מעריב וכן ברשת החברתית טוויטר;</w:t>
      </w:r>
    </w:p>
    <w:p w:rsidR="00E0607A" w:rsidRDefault="00E0607A" w:rsidP="00E0607A">
      <w:pPr>
        <w:pStyle w:val="ad"/>
        <w:numPr>
          <w:ilvl w:val="0"/>
          <w:numId w:val="9"/>
        </w:numPr>
        <w:spacing w:line="360" w:lineRule="auto"/>
        <w:jc w:val="both"/>
        <w:rPr>
          <w:rFonts w:ascii="David" w:hAnsi="David" w:cs="David"/>
          <w:color w:val="000000"/>
          <w:sz w:val="24"/>
          <w:szCs w:val="24"/>
        </w:rPr>
      </w:pPr>
      <w:r>
        <w:rPr>
          <w:rFonts w:ascii="David" w:hAnsi="David" w:cs="David"/>
          <w:color w:val="000000"/>
          <w:sz w:val="24"/>
          <w:szCs w:val="24"/>
          <w:u w:val="single"/>
          <w:rtl/>
        </w:rPr>
        <w:t xml:space="preserve">פיצוי כספי </w:t>
      </w:r>
      <w:r>
        <w:rPr>
          <w:rFonts w:ascii="David" w:hAnsi="David" w:cs="David"/>
          <w:color w:val="000000"/>
          <w:sz w:val="24"/>
          <w:szCs w:val="24"/>
          <w:rtl/>
        </w:rPr>
        <w:t xml:space="preserve">– פיצוי כספי בסך של 400,000 ₪ בגין נזק לא ממוני ולחילופין פיצוי מכח חוק איסור לשון הרע בסך של 280,000 ₪. </w:t>
      </w:r>
    </w:p>
    <w:p w:rsidR="00E0607A" w:rsidRDefault="00E0607A" w:rsidP="00E0607A">
      <w:pPr>
        <w:pStyle w:val="ad"/>
        <w:rPr>
          <w:rFonts w:ascii="David" w:hAnsi="David" w:cs="David"/>
          <w:color w:val="000000"/>
          <w:sz w:val="24"/>
          <w:szCs w:val="24"/>
          <w:rtl/>
        </w:rPr>
      </w:pPr>
    </w:p>
    <w:p w:rsidR="00E0607A" w:rsidRDefault="00E0607A" w:rsidP="00E0607A">
      <w:pPr>
        <w:pStyle w:val="ad"/>
        <w:numPr>
          <w:ilvl w:val="1"/>
          <w:numId w:val="1"/>
        </w:numPr>
        <w:spacing w:line="360" w:lineRule="auto"/>
        <w:ind w:left="395" w:hanging="567"/>
        <w:jc w:val="both"/>
        <w:rPr>
          <w:rFonts w:ascii="David" w:hAnsi="David" w:cs="David"/>
          <w:color w:val="000000"/>
          <w:sz w:val="24"/>
          <w:szCs w:val="24"/>
          <w:rtl/>
        </w:rPr>
      </w:pPr>
      <w:r>
        <w:rPr>
          <w:rFonts w:ascii="David" w:hAnsi="David" w:cs="David"/>
          <w:b/>
          <w:bCs/>
          <w:color w:val="000000"/>
          <w:sz w:val="24"/>
          <w:szCs w:val="24"/>
          <w:u w:val="single"/>
          <w:rtl/>
        </w:rPr>
        <w:t>אין מקום לחייב את הנתבע בפרסום הודעת תיקון ו/או הודעת הכחשה</w:t>
      </w:r>
    </w:p>
    <w:p w:rsidR="00E0607A" w:rsidRDefault="00E0607A" w:rsidP="00DE78FD">
      <w:pPr>
        <w:pStyle w:val="ad"/>
        <w:numPr>
          <w:ilvl w:val="0"/>
          <w:numId w:val="21"/>
        </w:numPr>
        <w:spacing w:line="360" w:lineRule="auto"/>
        <w:jc w:val="both"/>
        <w:rPr>
          <w:rFonts w:ascii="David" w:hAnsi="David" w:cs="David"/>
          <w:color w:val="000000"/>
          <w:sz w:val="24"/>
          <w:szCs w:val="24"/>
        </w:rPr>
      </w:pPr>
      <w:r>
        <w:rPr>
          <w:rFonts w:ascii="David" w:hAnsi="David" w:cs="David"/>
          <w:color w:val="000000"/>
          <w:sz w:val="24"/>
          <w:szCs w:val="24"/>
          <w:rtl/>
        </w:rPr>
        <w:t>התובע עותר, כאמור, לחייב את הנתבע בפרסום הודעת תיקון ו/או הודעת הכחשה. משמעות הבקשה היא חיוב הנתבע בפרסום הודעה שהיא</w:t>
      </w:r>
      <w:r w:rsidR="00DE78FD">
        <w:rPr>
          <w:rFonts w:ascii="David" w:hAnsi="David" w:cs="David" w:hint="cs"/>
          <w:color w:val="000000"/>
          <w:sz w:val="24"/>
          <w:szCs w:val="24"/>
          <w:rtl/>
        </w:rPr>
        <w:t xml:space="preserve"> בפועל</w:t>
      </w:r>
      <w:r>
        <w:rPr>
          <w:rFonts w:ascii="David" w:hAnsi="David" w:cs="David"/>
          <w:color w:val="000000"/>
          <w:sz w:val="24"/>
          <w:szCs w:val="24"/>
          <w:rtl/>
        </w:rPr>
        <w:t xml:space="preserve"> "הודעת התנצלות".</w:t>
      </w:r>
    </w:p>
    <w:p w:rsidR="00E0607A" w:rsidRDefault="00E0607A" w:rsidP="00E0607A">
      <w:pPr>
        <w:pStyle w:val="ad"/>
        <w:spacing w:line="360" w:lineRule="auto"/>
        <w:ind w:left="755"/>
        <w:jc w:val="both"/>
        <w:rPr>
          <w:rFonts w:ascii="David" w:hAnsi="David" w:cs="David"/>
          <w:color w:val="000000"/>
          <w:sz w:val="24"/>
          <w:szCs w:val="24"/>
        </w:rPr>
      </w:pPr>
    </w:p>
    <w:p w:rsidR="00E0607A" w:rsidRPr="00DE78FD" w:rsidRDefault="00E0607A" w:rsidP="00DE78FD">
      <w:pPr>
        <w:pStyle w:val="ad"/>
        <w:numPr>
          <w:ilvl w:val="0"/>
          <w:numId w:val="21"/>
        </w:numPr>
        <w:spacing w:line="360" w:lineRule="auto"/>
        <w:jc w:val="both"/>
        <w:rPr>
          <w:rFonts w:ascii="David" w:hAnsi="David" w:cs="David"/>
          <w:color w:val="000000"/>
          <w:sz w:val="24"/>
          <w:szCs w:val="24"/>
          <w:shd w:val="clear" w:color="auto" w:fill="FFFFFF"/>
        </w:rPr>
      </w:pPr>
      <w:r w:rsidRPr="006944AD">
        <w:rPr>
          <w:rFonts w:ascii="David" w:hAnsi="David" w:cs="David"/>
          <w:color w:val="000000"/>
          <w:sz w:val="24"/>
          <w:szCs w:val="24"/>
          <w:rtl/>
        </w:rPr>
        <w:t>ההלכה הרווחת כיום מצמצמת את השימוש בחיוב נתבעים בפרסום הודעות התנצלות. ר' למשל ת"א (מחוזי ת</w:t>
      </w:r>
      <w:r w:rsidR="0053320B" w:rsidRPr="006944AD">
        <w:rPr>
          <w:rFonts w:ascii="David" w:hAnsi="David" w:cs="David" w:hint="cs"/>
          <w:color w:val="000000"/>
          <w:sz w:val="24"/>
          <w:szCs w:val="24"/>
          <w:rtl/>
        </w:rPr>
        <w:t>"</w:t>
      </w:r>
      <w:r w:rsidRPr="006944AD">
        <w:rPr>
          <w:rFonts w:ascii="David" w:hAnsi="David" w:cs="David"/>
          <w:color w:val="000000"/>
          <w:sz w:val="24"/>
          <w:szCs w:val="24"/>
          <w:rtl/>
        </w:rPr>
        <w:t>א) 32235-03-10,</w:t>
      </w:r>
      <w:r w:rsidRPr="006944AD">
        <w:rPr>
          <w:rFonts w:ascii="David" w:hAnsi="David" w:cs="David"/>
          <w:color w:val="000000"/>
          <w:sz w:val="24"/>
          <w:szCs w:val="24"/>
          <w:u w:val="single"/>
          <w:shd w:val="clear" w:color="auto" w:fill="FFFFFF"/>
          <w:rtl/>
        </w:rPr>
        <w:t>ארגון המורים בתי הספר העל יסודיים, בסמינרים ובמכללות נ' עיתון "ישראל היום"</w:t>
      </w:r>
      <w:r w:rsidRPr="006944AD">
        <w:rPr>
          <w:rFonts w:ascii="David" w:hAnsi="David" w:cs="David"/>
          <w:color w:val="000000"/>
          <w:sz w:val="24"/>
          <w:szCs w:val="24"/>
          <w:shd w:val="clear" w:color="auto" w:fill="FFFFFF"/>
          <w:rtl/>
        </w:rPr>
        <w:t xml:space="preserve"> (מיום 6/2/2011, סג' הנ' השופטת י' שבח). עוד ר' ת"א (מחוזי מרכז) 20070-09-15, </w:t>
      </w:r>
      <w:r w:rsidRPr="006944AD">
        <w:rPr>
          <w:rFonts w:ascii="David" w:hAnsi="David" w:cs="David"/>
          <w:color w:val="000000"/>
          <w:sz w:val="24"/>
          <w:szCs w:val="24"/>
          <w:shd w:val="clear" w:color="auto" w:fill="FFFFFF"/>
        </w:rPr>
        <w:t> </w:t>
      </w:r>
      <w:r w:rsidRPr="006944AD">
        <w:rPr>
          <w:rFonts w:ascii="David" w:hAnsi="David" w:cs="David"/>
          <w:color w:val="000000"/>
          <w:sz w:val="24"/>
          <w:szCs w:val="24"/>
          <w:u w:val="single"/>
          <w:shd w:val="clear" w:color="auto" w:fill="FFFFFF"/>
          <w:rtl/>
        </w:rPr>
        <w:t>יוסף וינשטיין נ' יצחק ג'רבי </w:t>
      </w:r>
      <w:r w:rsidRPr="006944AD">
        <w:rPr>
          <w:rFonts w:ascii="David" w:hAnsi="David" w:cs="David"/>
          <w:color w:val="000000"/>
          <w:sz w:val="24"/>
          <w:szCs w:val="24"/>
          <w:shd w:val="clear" w:color="auto" w:fill="FFFFFF"/>
          <w:rtl/>
        </w:rPr>
        <w:t xml:space="preserve"> (מיום 21/6/2018, הש' צ' ויצמן) וכן ת"א 40739-12-18, </w:t>
      </w:r>
      <w:r w:rsidRPr="006944AD">
        <w:rPr>
          <w:rFonts w:ascii="David" w:hAnsi="David" w:cs="David"/>
          <w:color w:val="000000"/>
          <w:sz w:val="24"/>
          <w:szCs w:val="24"/>
          <w:u w:val="single"/>
          <w:shd w:val="clear" w:color="auto" w:fill="FFFFFF"/>
          <w:rtl/>
        </w:rPr>
        <w:t>אגודת מגן דוד אדום בישראל ואח' נ' איחוד הצלה ישראל ואח'</w:t>
      </w:r>
      <w:r w:rsidRPr="006944AD">
        <w:rPr>
          <w:rFonts w:ascii="David" w:hAnsi="David" w:cs="David"/>
          <w:color w:val="000000"/>
          <w:sz w:val="24"/>
          <w:szCs w:val="24"/>
          <w:shd w:val="clear" w:color="auto" w:fill="FFFFFF"/>
          <w:rtl/>
        </w:rPr>
        <w:t xml:space="preserve"> (מיום 29/7/2021, הש' נפתלי שילה) שם נקבע כך: </w:t>
      </w:r>
      <w:r w:rsidRPr="006944AD">
        <w:rPr>
          <w:rFonts w:ascii="David" w:hAnsi="David" w:cs="David"/>
          <w:b/>
          <w:bCs/>
          <w:color w:val="000000"/>
          <w:sz w:val="24"/>
          <w:szCs w:val="24"/>
          <w:shd w:val="clear" w:color="auto" w:fill="FFFFFF"/>
          <w:rtl/>
        </w:rPr>
        <w:t>"חיוב פוגע בפרסום התנצלות כאשר חיוב זה נעשה בכפיה, מרוקן מתוכן את מהות ההתנצלות והוא מנוגד לתכליתו של החוק שמטרתו הגנה על שמו הטוב של הנפגע והעמדת סעדים אופרטיביים להבדיל מסעדים שאין בהם תועלת כגון התנצלות שאין בבסיסה כוונה כנה ואמיתית"</w:t>
      </w:r>
      <w:r w:rsidRPr="006944AD">
        <w:rPr>
          <w:rFonts w:ascii="David" w:hAnsi="David" w:cs="David"/>
          <w:color w:val="000000"/>
          <w:sz w:val="24"/>
          <w:szCs w:val="24"/>
          <w:shd w:val="clear" w:color="auto" w:fill="FFFFFF"/>
          <w:rtl/>
        </w:rPr>
        <w:t>.</w:t>
      </w:r>
      <w:r w:rsidR="00DE78FD">
        <w:rPr>
          <w:rFonts w:ascii="David" w:hAnsi="David" w:cs="David" w:hint="cs"/>
          <w:color w:val="000000"/>
          <w:sz w:val="24"/>
          <w:szCs w:val="24"/>
          <w:shd w:val="clear" w:color="auto" w:fill="FFFFFF"/>
          <w:rtl/>
        </w:rPr>
        <w:t xml:space="preserve"> </w:t>
      </w:r>
      <w:r w:rsidR="00DE78FD" w:rsidRPr="00DE78FD">
        <w:rPr>
          <w:rFonts w:ascii="David" w:hAnsi="David" w:cs="David"/>
          <w:color w:val="000000"/>
          <w:sz w:val="24"/>
          <w:szCs w:val="24"/>
          <w:shd w:val="clear" w:color="auto" w:fill="FFFFFF"/>
          <w:rtl/>
        </w:rPr>
        <w:t>להרחבה ר' גם ע"א 3386-10-19</w:t>
      </w:r>
      <w:r w:rsidRPr="00DE78FD">
        <w:rPr>
          <w:rFonts w:ascii="David" w:hAnsi="David" w:cs="David"/>
          <w:color w:val="000000"/>
          <w:sz w:val="24"/>
          <w:szCs w:val="24"/>
          <w:shd w:val="clear" w:color="auto" w:fill="FFFFFF"/>
        </w:rPr>
        <w:t>,</w:t>
      </w:r>
      <w:r w:rsidR="00DE78FD" w:rsidRPr="00DE78FD">
        <w:rPr>
          <w:rFonts w:ascii="David" w:hAnsi="David" w:cs="David" w:hint="cs"/>
          <w:color w:val="000000"/>
          <w:sz w:val="24"/>
          <w:szCs w:val="24"/>
          <w:shd w:val="clear" w:color="auto" w:fill="FFFFFF"/>
          <w:rtl/>
        </w:rPr>
        <w:t xml:space="preserve"> </w:t>
      </w:r>
      <w:r w:rsidRPr="00DE78FD">
        <w:rPr>
          <w:rFonts w:ascii="David" w:hAnsi="David" w:cs="David"/>
          <w:color w:val="000000"/>
          <w:sz w:val="24"/>
          <w:szCs w:val="24"/>
          <w:u w:val="single"/>
          <w:shd w:val="clear" w:color="auto" w:fill="FFFFFF"/>
          <w:rtl/>
        </w:rPr>
        <w:t xml:space="preserve">שרת התרבות והספורט ח"כ מירי רגב נ' ערוץ 10 החדש בע"מ </w:t>
      </w:r>
      <w:r w:rsidRPr="00DE78FD">
        <w:rPr>
          <w:rFonts w:ascii="David" w:hAnsi="David" w:cs="David"/>
          <w:color w:val="000000"/>
          <w:sz w:val="24"/>
          <w:szCs w:val="24"/>
          <w:shd w:val="clear" w:color="auto" w:fill="FFFFFF"/>
          <w:rtl/>
        </w:rPr>
        <w:t>ואח' (מיום 2/8/2020, הש' רם וינוגרד, מרים אילני ושושנה ליבוביץ) שם בפסקאות 57-58 לפסק הדין של הש' רם וינוגרד מובאת סקירה של הפסיקה והספרות הרלוו</w:t>
      </w:r>
      <w:r w:rsidR="00DE78FD">
        <w:rPr>
          <w:rFonts w:ascii="David" w:hAnsi="David" w:cs="David"/>
          <w:color w:val="000000"/>
          <w:sz w:val="24"/>
          <w:szCs w:val="24"/>
          <w:shd w:val="clear" w:color="auto" w:fill="FFFFFF"/>
          <w:rtl/>
        </w:rPr>
        <w:t>נטית</w:t>
      </w:r>
      <w:r w:rsidRPr="00DE78FD">
        <w:rPr>
          <w:rFonts w:ascii="David" w:hAnsi="David" w:cs="David"/>
          <w:color w:val="000000"/>
          <w:sz w:val="24"/>
          <w:szCs w:val="24"/>
          <w:shd w:val="clear" w:color="auto" w:fill="FFFFFF"/>
        </w:rPr>
        <w:t>.</w:t>
      </w:r>
    </w:p>
    <w:p w:rsidR="00E0607A" w:rsidRDefault="00E0607A" w:rsidP="00E0607A">
      <w:pPr>
        <w:pStyle w:val="ad"/>
        <w:spacing w:line="360" w:lineRule="auto"/>
        <w:ind w:left="755"/>
        <w:jc w:val="both"/>
        <w:rPr>
          <w:rFonts w:ascii="David" w:hAnsi="David" w:cs="David"/>
          <w:color w:val="000000"/>
          <w:sz w:val="24"/>
          <w:szCs w:val="24"/>
          <w:shd w:val="clear" w:color="auto" w:fill="FFFFFF"/>
          <w:rtl/>
        </w:rPr>
      </w:pPr>
    </w:p>
    <w:p w:rsidR="00E0607A" w:rsidRDefault="00E0607A" w:rsidP="00E0607A">
      <w:pPr>
        <w:pStyle w:val="ad"/>
        <w:numPr>
          <w:ilvl w:val="0"/>
          <w:numId w:val="21"/>
        </w:numPr>
        <w:spacing w:line="360" w:lineRule="auto"/>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כך או כך, ניתן כעת פסק דין זה ובו קביעה לפיה בחלק מהפרסום הראשון עוול הנתבע בהוצאת לשון הרע. התובע יוכל לעשות שימוש בפסק הדין ולפרסמו בכל מסגרת חוקית שימצא לנכון. בכך תתקבל התרופה הנדרשת לצורך ריפוי עוול</w:t>
      </w:r>
      <w:r w:rsidR="00DE78FD">
        <w:rPr>
          <w:rFonts w:ascii="David" w:hAnsi="David" w:cs="David" w:hint="cs"/>
          <w:color w:val="000000"/>
          <w:sz w:val="24"/>
          <w:szCs w:val="24"/>
          <w:shd w:val="clear" w:color="auto" w:fill="FFFFFF"/>
          <w:rtl/>
        </w:rPr>
        <w:t>ת</w:t>
      </w:r>
      <w:r>
        <w:rPr>
          <w:rFonts w:ascii="David" w:hAnsi="David" w:cs="David"/>
          <w:color w:val="000000"/>
          <w:sz w:val="24"/>
          <w:szCs w:val="24"/>
          <w:shd w:val="clear" w:color="auto" w:fill="FFFFFF"/>
          <w:rtl/>
        </w:rPr>
        <w:t xml:space="preserve"> הוצאת לשון הרע. מנגד, העובדה שאיני מחייב את הנתבע בפרסום הודעת התנצלות כלשהי, תביא לכך שמחלוקת זו תסתיים מבלי שייוותר שייר הודעת הפרסום והפצתה - שייר שעלול להפוך לבסיס מחלוקת נוספת. </w:t>
      </w:r>
    </w:p>
    <w:p w:rsidR="00E0607A" w:rsidRDefault="00E0607A" w:rsidP="00E0607A">
      <w:pPr>
        <w:pStyle w:val="ad"/>
        <w:rPr>
          <w:rFonts w:ascii="David" w:hAnsi="David" w:cs="David"/>
          <w:sz w:val="24"/>
          <w:szCs w:val="24"/>
          <w:rtl/>
        </w:rPr>
      </w:pPr>
    </w:p>
    <w:p w:rsidR="00E0607A" w:rsidRDefault="00E0607A" w:rsidP="00E0607A">
      <w:pPr>
        <w:pStyle w:val="ad"/>
        <w:numPr>
          <w:ilvl w:val="1"/>
          <w:numId w:val="1"/>
        </w:numPr>
        <w:spacing w:line="360" w:lineRule="auto"/>
        <w:ind w:left="395" w:hanging="567"/>
        <w:jc w:val="both"/>
        <w:rPr>
          <w:rFonts w:ascii="David" w:hAnsi="David" w:cs="David"/>
          <w:sz w:val="24"/>
          <w:szCs w:val="24"/>
          <w:rtl/>
        </w:rPr>
      </w:pPr>
      <w:r>
        <w:rPr>
          <w:rFonts w:ascii="David" w:hAnsi="David" w:cs="David"/>
          <w:b/>
          <w:bCs/>
          <w:sz w:val="24"/>
          <w:szCs w:val="24"/>
          <w:u w:val="single"/>
          <w:rtl/>
        </w:rPr>
        <w:t>קביעת פיצוי לתובע</w:t>
      </w:r>
    </w:p>
    <w:p w:rsidR="00E0607A" w:rsidRPr="00DE78FD" w:rsidRDefault="00E0607A" w:rsidP="00DE78FD">
      <w:pPr>
        <w:pStyle w:val="ad"/>
        <w:numPr>
          <w:ilvl w:val="0"/>
          <w:numId w:val="22"/>
        </w:numPr>
        <w:spacing w:line="360" w:lineRule="auto"/>
        <w:jc w:val="both"/>
        <w:rPr>
          <w:rFonts w:ascii="David" w:hAnsi="David" w:cs="David"/>
          <w:sz w:val="24"/>
          <w:szCs w:val="24"/>
        </w:rPr>
      </w:pPr>
      <w:r>
        <w:rPr>
          <w:rFonts w:ascii="David" w:hAnsi="David" w:cs="David"/>
          <w:sz w:val="24"/>
          <w:szCs w:val="24"/>
          <w:u w:val="single"/>
          <w:rtl/>
        </w:rPr>
        <w:t>התייחסות לפרסום ולשאלת "כוונה לפגוע"</w:t>
      </w:r>
      <w:r>
        <w:rPr>
          <w:rFonts w:ascii="David" w:hAnsi="David" w:cs="David"/>
          <w:sz w:val="24"/>
          <w:szCs w:val="24"/>
          <w:rtl/>
        </w:rPr>
        <w:t xml:space="preserve"> - הפרסום שערך הנתבע נעשה במכוון ולא בהיסח הדעת. עם זאת, אין מדובר בפרסום שנעשה דווקא "בכוונה לפגוע" כמשמעות סעיף 7א(ג) ל</w:t>
      </w:r>
      <w:r w:rsidRPr="00DE78FD">
        <w:rPr>
          <w:rFonts w:ascii="David" w:hAnsi="David" w:cs="David"/>
          <w:sz w:val="24"/>
          <w:szCs w:val="24"/>
          <w:u w:val="single"/>
          <w:rtl/>
        </w:rPr>
        <w:t>חוק איסור לשון הרע</w:t>
      </w:r>
      <w:r>
        <w:rPr>
          <w:rFonts w:ascii="David" w:hAnsi="David" w:cs="David"/>
          <w:sz w:val="24"/>
          <w:szCs w:val="24"/>
          <w:rtl/>
        </w:rPr>
        <w:t xml:space="preserve">, תשכ"ה – 1965. ואבהיר. לא כל פרסום שנעשה במכוון, הוא פרסום זדוני שמטרתו לפגוע, להשפיל או להוציא לשון הרע ביחס למושא הפרסום. לא כל פרסום שנעשה במכוון ואפילו בחוסר תום לב, ייחשב כפרסום זדוני שנועד לפגוע כמשמעו בחוק. לענין זה ר' ע"א 5022/13, </w:t>
      </w:r>
      <w:r>
        <w:rPr>
          <w:rFonts w:ascii="David" w:hAnsi="David" w:cs="David"/>
          <w:sz w:val="24"/>
          <w:szCs w:val="24"/>
          <w:u w:val="single"/>
          <w:rtl/>
        </w:rPr>
        <w:t>הרב אמנון יצחק נגד דנון תקשורת בע"מ</w:t>
      </w:r>
      <w:r>
        <w:rPr>
          <w:rFonts w:ascii="David" w:hAnsi="David" w:cs="David"/>
          <w:sz w:val="24"/>
          <w:szCs w:val="24"/>
          <w:rtl/>
        </w:rPr>
        <w:t xml:space="preserve">  (מיום 8/9/2013, הש' צ' זילברטל) שם נקבע כך (ההדגשות לא במקור): </w:t>
      </w:r>
      <w:r>
        <w:rPr>
          <w:rFonts w:ascii="David" w:hAnsi="David" w:cs="David"/>
          <w:b/>
          <w:bCs/>
          <w:sz w:val="24"/>
          <w:szCs w:val="24"/>
          <w:rtl/>
        </w:rPr>
        <w:t xml:space="preserve">"אם </w:t>
      </w:r>
      <w:r>
        <w:rPr>
          <w:rFonts w:ascii="David" w:hAnsi="David" w:cs="David"/>
          <w:b/>
          <w:bCs/>
          <w:color w:val="000000"/>
          <w:sz w:val="24"/>
          <w:szCs w:val="24"/>
          <w:rtl/>
        </w:rPr>
        <w:t>די יהיה בקיומה של צפיות שהפרסום המעוול יפגע במושא הדברים על מנת שייקבע כי מדובר בפרסום שנעשה בכוונה לפגוע, נמצא שכל פרסום שיש בו לשון הרע, בשל טבעו ככזה, ייחשב כפרסום שנעשה בכוונה לפגו</w:t>
      </w:r>
      <w:r w:rsidR="00DE78FD">
        <w:rPr>
          <w:rFonts w:ascii="David" w:hAnsi="David" w:cs="David" w:hint="cs"/>
          <w:b/>
          <w:bCs/>
          <w:color w:val="000000"/>
          <w:sz w:val="24"/>
          <w:szCs w:val="24"/>
          <w:rtl/>
        </w:rPr>
        <w:t xml:space="preserve">ע. </w:t>
      </w:r>
      <w:r w:rsidRPr="00DE78FD">
        <w:rPr>
          <w:rFonts w:ascii="David" w:hAnsi="David" w:cs="David"/>
          <w:b/>
          <w:bCs/>
          <w:color w:val="000000"/>
          <w:sz w:val="24"/>
          <w:szCs w:val="24"/>
        </w:rPr>
        <w:t> </w:t>
      </w:r>
      <w:r w:rsidRPr="00DE78FD">
        <w:rPr>
          <w:rFonts w:ascii="David" w:hAnsi="David" w:cs="David"/>
          <w:b/>
          <w:bCs/>
          <w:color w:val="000000"/>
          <w:sz w:val="24"/>
          <w:szCs w:val="24"/>
          <w:rtl/>
        </w:rPr>
        <w:t xml:space="preserve">נדרש, אפוא, </w:t>
      </w:r>
      <w:r w:rsidRPr="00DE78FD">
        <w:rPr>
          <w:rFonts w:ascii="David" w:hAnsi="David" w:cs="David"/>
          <w:b/>
          <w:bCs/>
          <w:color w:val="000000"/>
          <w:sz w:val="24"/>
          <w:szCs w:val="24"/>
          <w:u w:val="single"/>
          <w:rtl/>
        </w:rPr>
        <w:t>קיומו של יסוד נוסף, של התנהגות זדונית, של כוונה 'של ממש' לפגוע</w:t>
      </w:r>
      <w:r w:rsidRPr="00DE78FD">
        <w:rPr>
          <w:rFonts w:ascii="David" w:hAnsi="David" w:cs="David"/>
          <w:b/>
          <w:bCs/>
          <w:color w:val="000000"/>
          <w:sz w:val="24"/>
          <w:szCs w:val="24"/>
          <w:rtl/>
        </w:rPr>
        <w:t>"</w:t>
      </w:r>
      <w:r w:rsidRPr="00DE78FD">
        <w:rPr>
          <w:rFonts w:ascii="David" w:hAnsi="David" w:cs="David"/>
          <w:sz w:val="24"/>
          <w:szCs w:val="24"/>
          <w:rtl/>
        </w:rPr>
        <w:t>.</w:t>
      </w:r>
    </w:p>
    <w:p w:rsidR="00E0607A" w:rsidRDefault="00E0607A" w:rsidP="00E0607A">
      <w:pPr>
        <w:pStyle w:val="ad"/>
        <w:spacing w:line="360" w:lineRule="auto"/>
        <w:ind w:left="755"/>
        <w:jc w:val="both"/>
        <w:rPr>
          <w:rFonts w:ascii="David" w:hAnsi="David" w:cs="David"/>
          <w:sz w:val="24"/>
          <w:szCs w:val="24"/>
          <w:rtl/>
        </w:rPr>
      </w:pPr>
    </w:p>
    <w:p w:rsidR="00E0607A" w:rsidRDefault="00E0607A" w:rsidP="00E0607A">
      <w:pPr>
        <w:pStyle w:val="ad"/>
        <w:numPr>
          <w:ilvl w:val="0"/>
          <w:numId w:val="22"/>
        </w:numPr>
        <w:spacing w:line="360" w:lineRule="auto"/>
        <w:jc w:val="both"/>
        <w:rPr>
          <w:rFonts w:ascii="David" w:hAnsi="David" w:cs="David"/>
          <w:sz w:val="24"/>
          <w:szCs w:val="24"/>
        </w:rPr>
      </w:pPr>
      <w:r>
        <w:rPr>
          <w:rFonts w:ascii="David" w:hAnsi="David" w:cs="David"/>
          <w:sz w:val="24"/>
          <w:szCs w:val="24"/>
          <w:u w:val="single"/>
          <w:rtl/>
        </w:rPr>
        <w:t>התייחסות לסכום הפיצוי הראוי</w:t>
      </w:r>
      <w:r>
        <w:rPr>
          <w:rFonts w:ascii="David" w:hAnsi="David" w:cs="David"/>
          <w:sz w:val="24"/>
          <w:szCs w:val="24"/>
          <w:rtl/>
        </w:rPr>
        <w:t xml:space="preserve"> – בעת קביעת סכום הפיצוי יש להתייחס ל"פלטפורמה" בה בוצע הפרסום, לחשיבותו של הנתבע כעיתונאי מוביל וככותב טורי דעה. עוד התייחסתי לכך שנעשה פרסום נוסף אשר עמעם במידה מסוימת את הפרסום הראשון והבהיר שהפרסום הראשון היה בגדר הבעת דעה של הנתבע. עוד התייחסתי לכך שאין מקום להגדיל את הפיצוי ואין לקבוע שזה נעשה בכוונת זדון, ור' הדיון בס"ק 5.3(א) לעיל. בנסיבות אלה, הנכון הוא לחייב את הנתבע בתשלום הסך של </w:t>
      </w:r>
      <w:r>
        <w:rPr>
          <w:rFonts w:ascii="David" w:hAnsi="David" w:cs="David"/>
          <w:b/>
          <w:bCs/>
          <w:sz w:val="24"/>
          <w:szCs w:val="24"/>
          <w:u w:val="single"/>
          <w:rtl/>
        </w:rPr>
        <w:t>40,000 ₪</w:t>
      </w:r>
      <w:r>
        <w:rPr>
          <w:rFonts w:ascii="David" w:hAnsi="David" w:cs="David"/>
          <w:sz w:val="24"/>
          <w:szCs w:val="24"/>
          <w:rtl/>
        </w:rPr>
        <w:t xml:space="preserve"> כערכו במועד הגשת התביעה.   </w:t>
      </w:r>
    </w:p>
    <w:p w:rsidR="00E0607A" w:rsidRDefault="00E0607A" w:rsidP="00E0607A">
      <w:pPr>
        <w:pStyle w:val="ad"/>
        <w:spacing w:line="360" w:lineRule="auto"/>
        <w:ind w:left="-739"/>
        <w:jc w:val="both"/>
        <w:rPr>
          <w:rFonts w:ascii="David" w:hAnsi="David" w:cs="David"/>
          <w:sz w:val="24"/>
          <w:szCs w:val="24"/>
          <w:rtl/>
        </w:rPr>
      </w:pPr>
    </w:p>
    <w:p w:rsidR="00E0607A" w:rsidRDefault="00E0607A" w:rsidP="00E0607A">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סוף דבר</w:t>
      </w:r>
    </w:p>
    <w:p w:rsidR="00E0607A" w:rsidRDefault="00E0607A" w:rsidP="00E0607A">
      <w:pPr>
        <w:pStyle w:val="ad"/>
        <w:spacing w:line="360" w:lineRule="auto"/>
        <w:ind w:left="-172"/>
        <w:jc w:val="both"/>
        <w:rPr>
          <w:rFonts w:ascii="David" w:hAnsi="David" w:cs="David"/>
          <w:sz w:val="24"/>
          <w:szCs w:val="24"/>
          <w:rtl/>
        </w:rPr>
      </w:pPr>
      <w:r>
        <w:rPr>
          <w:rFonts w:ascii="David" w:hAnsi="David" w:cs="David"/>
          <w:sz w:val="24"/>
          <w:szCs w:val="24"/>
          <w:rtl/>
        </w:rPr>
        <w:t xml:space="preserve">לאור כל האמור לעיל, התביעה מתקבלת באופן חלקי ואך ורק ביחס לאמירה המייחסת לתובע ולפיה </w:t>
      </w:r>
      <w:r>
        <w:rPr>
          <w:rFonts w:ascii="David" w:hAnsi="David" w:cs="David"/>
          <w:b/>
          <w:bCs/>
          <w:sz w:val="24"/>
          <w:szCs w:val="24"/>
          <w:rtl/>
        </w:rPr>
        <w:t>"דמם של 45 נספי אסון מירון מרוח על ידיו"</w:t>
      </w:r>
      <w:r>
        <w:rPr>
          <w:rFonts w:ascii="David" w:hAnsi="David" w:cs="David"/>
          <w:sz w:val="24"/>
          <w:szCs w:val="24"/>
          <w:rtl/>
        </w:rPr>
        <w:t>.</w:t>
      </w:r>
    </w:p>
    <w:p w:rsidR="00A84C23" w:rsidRDefault="00A84C23" w:rsidP="00E0607A">
      <w:pPr>
        <w:pStyle w:val="ad"/>
        <w:spacing w:line="360" w:lineRule="auto"/>
        <w:ind w:left="-172"/>
        <w:jc w:val="both"/>
        <w:rPr>
          <w:rFonts w:ascii="David" w:hAnsi="David" w:cs="David"/>
          <w:sz w:val="24"/>
          <w:szCs w:val="24"/>
        </w:rPr>
      </w:pPr>
    </w:p>
    <w:p w:rsidR="00E0607A" w:rsidRDefault="00E0607A" w:rsidP="00795ADF">
      <w:pPr>
        <w:pStyle w:val="ad"/>
        <w:spacing w:line="360" w:lineRule="auto"/>
        <w:ind w:left="-172"/>
        <w:jc w:val="both"/>
        <w:rPr>
          <w:rFonts w:ascii="David" w:hAnsi="David" w:cs="David"/>
          <w:sz w:val="24"/>
          <w:szCs w:val="24"/>
          <w:rtl/>
        </w:rPr>
      </w:pPr>
      <w:r>
        <w:rPr>
          <w:rFonts w:ascii="David" w:hAnsi="David" w:cs="David"/>
          <w:sz w:val="24"/>
          <w:szCs w:val="24"/>
          <w:rtl/>
        </w:rPr>
        <w:t xml:space="preserve">אני מחייב את הנתבע בתשלום הסך של </w:t>
      </w:r>
      <w:r>
        <w:rPr>
          <w:rFonts w:ascii="David" w:hAnsi="David" w:cs="David"/>
          <w:b/>
          <w:bCs/>
          <w:sz w:val="24"/>
          <w:szCs w:val="24"/>
          <w:u w:val="single"/>
          <w:rtl/>
        </w:rPr>
        <w:t>40,000 ₪</w:t>
      </w:r>
      <w:r>
        <w:rPr>
          <w:rFonts w:ascii="David" w:hAnsi="David" w:cs="David"/>
          <w:sz w:val="24"/>
          <w:szCs w:val="24"/>
          <w:rtl/>
        </w:rPr>
        <w:t xml:space="preserve"> בתוספת הפרשי הצמדה וריבית כחוק מיום הגשת התביעה</w:t>
      </w:r>
      <w:r w:rsidR="00795ADF">
        <w:rPr>
          <w:rFonts w:ascii="David" w:hAnsi="David" w:cs="David" w:hint="cs"/>
          <w:sz w:val="24"/>
          <w:szCs w:val="24"/>
          <w:rtl/>
        </w:rPr>
        <w:t xml:space="preserve">, </w:t>
      </w:r>
      <w:r>
        <w:rPr>
          <w:rFonts w:ascii="David" w:hAnsi="David" w:cs="David"/>
          <w:sz w:val="24"/>
          <w:szCs w:val="24"/>
          <w:rtl/>
        </w:rPr>
        <w:t>26/12/2021</w:t>
      </w:r>
      <w:r w:rsidR="00795ADF">
        <w:rPr>
          <w:rFonts w:ascii="David" w:hAnsi="David" w:cs="David" w:hint="cs"/>
          <w:sz w:val="24"/>
          <w:szCs w:val="24"/>
          <w:rtl/>
        </w:rPr>
        <w:t>, ועד למועד התשלום בפועל</w:t>
      </w:r>
      <w:r>
        <w:rPr>
          <w:rFonts w:ascii="David" w:hAnsi="David" w:cs="David"/>
          <w:sz w:val="24"/>
          <w:szCs w:val="24"/>
          <w:rtl/>
        </w:rPr>
        <w:t xml:space="preserve">. עוד אני מחייב את הנתבע בתשלום הוצאות משפט ושכר טרחת עו"ד בסך כולל של </w:t>
      </w:r>
      <w:r>
        <w:rPr>
          <w:rFonts w:ascii="David" w:hAnsi="David" w:cs="David"/>
          <w:b/>
          <w:bCs/>
          <w:sz w:val="24"/>
          <w:szCs w:val="24"/>
          <w:u w:val="single"/>
          <w:rtl/>
        </w:rPr>
        <w:t>20,000 ₪</w:t>
      </w:r>
      <w:r>
        <w:rPr>
          <w:rFonts w:ascii="David" w:hAnsi="David" w:cs="David"/>
          <w:sz w:val="24"/>
          <w:szCs w:val="24"/>
          <w:rtl/>
        </w:rPr>
        <w:t xml:space="preserve"> בצירוף הפרשי הצמדה וריבית</w:t>
      </w:r>
      <w:r w:rsidR="00795ADF">
        <w:rPr>
          <w:rFonts w:ascii="David" w:hAnsi="David" w:cs="David" w:hint="cs"/>
          <w:sz w:val="24"/>
          <w:szCs w:val="24"/>
          <w:rtl/>
        </w:rPr>
        <w:t xml:space="preserve"> כחוק</w:t>
      </w:r>
      <w:r>
        <w:rPr>
          <w:rFonts w:ascii="David" w:hAnsi="David" w:cs="David"/>
          <w:sz w:val="24"/>
          <w:szCs w:val="24"/>
          <w:rtl/>
        </w:rPr>
        <w:t xml:space="preserve"> ממועד פסק הדין ועד למועד התשלום בפועל. </w:t>
      </w:r>
    </w:p>
    <w:p w:rsidR="00694556" w:rsidRDefault="00005C8B" w:rsidP="00E0607A">
      <w:pPr>
        <w:spacing w:line="360" w:lineRule="auto"/>
        <w:ind w:left="-198"/>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28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445367">
        <w:rPr>
          <w:rFonts w:ascii="Arial" w:hAnsi="Arial"/>
          <w:noProof w:val="0"/>
          <w:rtl/>
        </w:rPr>
        <w:tab/>
      </w:r>
      <w:r w:rsidR="00445367">
        <w:rPr>
          <w:rFonts w:ascii="Arial" w:hAnsi="Arial"/>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71ABA" w:rsidP="00445367">
      <w:pPr>
        <w:spacing w:line="360" w:lineRule="auto"/>
        <w:ind w:left="5040" w:firstLine="720"/>
      </w:pPr>
      <w:sdt>
        <w:sdtPr>
          <w:rPr>
            <w:rtl/>
          </w:rPr>
          <w:alias w:val="MergeField"/>
          <w:tag w:val="1237"/>
          <w:id w:val="-1154980445"/>
        </w:sdtPr>
        <w:sdtEndPr/>
        <w:sdtContent>
          <w:r w:rsidR="00FC4B1B">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445367">
      <w:pPr>
        <w:spacing w:line="360" w:lineRule="auto"/>
        <w:ind w:left="5040" w:firstLine="720"/>
        <w:rPr>
          <w:rFonts w:ascii="Arial" w:hAnsi="Arial"/>
          <w:noProof w:val="0"/>
          <w:rtl/>
        </w:rPr>
      </w:pPr>
    </w:p>
    <w:p w:rsidR="00694556" w:rsidRDefault="00694556">
      <w:pPr>
        <w:spacing w:line="360" w:lineRule="auto"/>
        <w:jc w:val="both"/>
        <w:rPr>
          <w:rFonts w:ascii="Arial" w:hAnsi="Arial"/>
          <w:noProof w:val="0"/>
          <w:rtl/>
        </w:rPr>
      </w:pPr>
    </w:p>
    <w:sectPr w:rsidR="00694556" w:rsidSect="00C1755C">
      <w:headerReference w:type="even" r:id="rId10"/>
      <w:headerReference w:type="default" r:id="rId11"/>
      <w:footerReference w:type="even" r:id="rId12"/>
      <w:footerReference w:type="default" r:id="rId13"/>
      <w:headerReference w:type="first" r:id="rId14"/>
      <w:footerReference w:type="first" r:id="rId15"/>
      <w:pgSz w:w="11907" w:h="16840" w:code="9"/>
      <w:pgMar w:top="1134" w:right="1474" w:bottom="1134" w:left="1474"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B1B" w:rsidRDefault="00FC4B1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A62BD0" w:rsidRDefault="002352F7">
    <w:pPr>
      <w:pStyle w:val="a4"/>
      <w:jc w:val="center"/>
      <w:rPr>
        <w:rStyle w:val="ab"/>
      </w:rPr>
    </w:pPr>
    <w:r w:rsidRPr="00A62BD0">
      <w:rPr>
        <w:rStyle w:val="ab"/>
      </w:rPr>
      <w:fldChar w:fldCharType="begin"/>
    </w:r>
    <w:r w:rsidR="00005C8B" w:rsidRPr="00A62BD0">
      <w:rPr>
        <w:rStyle w:val="ab"/>
      </w:rPr>
      <w:instrText xml:space="preserve"> PAGE </w:instrText>
    </w:r>
    <w:r w:rsidRPr="00A62BD0">
      <w:rPr>
        <w:rStyle w:val="ab"/>
      </w:rPr>
      <w:fldChar w:fldCharType="separate"/>
    </w:r>
    <w:r w:rsidR="00071ABA">
      <w:rPr>
        <w:rStyle w:val="ab"/>
        <w:rtl/>
      </w:rPr>
      <w:t>1</w:t>
    </w:r>
    <w:r w:rsidRPr="00A62BD0">
      <w:rPr>
        <w:rStyle w:val="ab"/>
      </w:rPr>
      <w:fldChar w:fldCharType="end"/>
    </w:r>
    <w:r w:rsidR="00005C8B" w:rsidRPr="00A62BD0">
      <w:rPr>
        <w:rStyle w:val="ab"/>
        <w:rFonts w:hint="cs"/>
        <w:rtl/>
      </w:rPr>
      <w:t xml:space="preserve"> מתוך </w:t>
    </w:r>
    <w:r w:rsidRPr="00A62BD0">
      <w:rPr>
        <w:rStyle w:val="ab"/>
      </w:rPr>
      <w:fldChar w:fldCharType="begin"/>
    </w:r>
    <w:r w:rsidR="00005C8B" w:rsidRPr="00A62BD0">
      <w:rPr>
        <w:rStyle w:val="ab"/>
      </w:rPr>
      <w:instrText xml:space="preserve"> NUMPAGES </w:instrText>
    </w:r>
    <w:r w:rsidRPr="00A62BD0">
      <w:rPr>
        <w:rStyle w:val="ab"/>
      </w:rPr>
      <w:fldChar w:fldCharType="separate"/>
    </w:r>
    <w:r w:rsidR="00071ABA">
      <w:rPr>
        <w:rStyle w:val="ab"/>
        <w:rtl/>
      </w:rPr>
      <w:t>20</w:t>
    </w:r>
    <w:r w:rsidRPr="00A62BD0">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B1B" w:rsidRDefault="00FC4B1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B1B" w:rsidRDefault="00FC4B1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00BC388D" wp14:editId="4FD22DBF">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26B56">
      <w:trPr>
        <w:trHeight w:hRule="exact" w:val="670"/>
        <w:jc w:val="center"/>
      </w:trPr>
      <w:sdt>
        <w:sdtPr>
          <w:rPr>
            <w:sz w:val="32"/>
            <w:szCs w:val="32"/>
            <w:rtl/>
          </w:rPr>
          <w:alias w:val="1174"/>
          <w:tag w:val="1174"/>
          <w:id w:val="-1775709220"/>
          <w:text/>
        </w:sdtPr>
        <w:sdtEndPr/>
        <w:sdtContent>
          <w:tc>
            <w:tcPr>
              <w:tcW w:w="8307" w:type="dxa"/>
            </w:tcPr>
            <w:p w:rsidR="00D26B56"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השלום בתל אביב -יפו</w:t>
              </w:r>
            </w:p>
            <w:p w:rsidR="00694556" w:rsidRPr="00D26B56" w:rsidRDefault="00694556" w:rsidP="00D26B56">
              <w:pPr>
                <w:rPr>
                  <w:rtl/>
                </w:rPr>
              </w:pPr>
            </w:p>
          </w:tc>
        </w:sdtContent>
      </w:sdt>
    </w:tr>
    <w:tr w:rsidR="00694556" w:rsidRPr="00CD0055" w:rsidTr="00D26B56">
      <w:trPr>
        <w:trHeight w:val="337"/>
        <w:jc w:val="center"/>
      </w:trPr>
      <w:tc>
        <w:tcPr>
          <w:tcW w:w="8307" w:type="dxa"/>
        </w:tcPr>
        <w:p w:rsidR="00694556" w:rsidRPr="00CD0055" w:rsidRDefault="00071ABA" w:rsidP="004C5CA7">
          <w:pPr>
            <w:rPr>
              <w:b/>
              <w:bCs/>
              <w:noProof w:val="0"/>
              <w:sz w:val="26"/>
              <w:szCs w:val="26"/>
              <w:rtl/>
            </w:rPr>
          </w:pPr>
          <w:sdt>
            <w:sdtPr>
              <w:rPr>
                <w:b/>
                <w:bCs/>
                <w:noProof w:val="0"/>
                <w:sz w:val="26"/>
                <w:szCs w:val="26"/>
                <w:rtl/>
              </w:rPr>
              <w:alias w:val="1170"/>
              <w:tag w:val="1170"/>
              <w:id w:val="299038016"/>
              <w:text w:multiLine="1"/>
            </w:sdtPr>
            <w:sdtEndPr/>
            <w:sdtContent>
              <w:r w:rsidR="00445367">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445367">
                <w:rPr>
                  <w:b/>
                  <w:bCs/>
                  <w:noProof w:val="0"/>
                  <w:sz w:val="26"/>
                  <w:szCs w:val="26"/>
                  <w:rtl/>
                </w:rPr>
                <w:t>56450-12-21</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445367">
                <w:rPr>
                  <w:b/>
                  <w:bCs/>
                  <w:noProof w:val="0"/>
                  <w:sz w:val="26"/>
                  <w:szCs w:val="26"/>
                  <w:rtl/>
                </w:rPr>
                <w:t>דרעי נ' כספית</w:t>
              </w:r>
            </w:sdtContent>
          </w:sdt>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B1B" w:rsidRDefault="00FC4B1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00AB9"/>
    <w:multiLevelType w:val="hybridMultilevel"/>
    <w:tmpl w:val="B6BE32F8"/>
    <w:lvl w:ilvl="0" w:tplc="01823E6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4F44650"/>
    <w:multiLevelType w:val="hybridMultilevel"/>
    <w:tmpl w:val="C15ED6A2"/>
    <w:lvl w:ilvl="0" w:tplc="57A855CA">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2" w15:restartNumberingAfterBreak="0">
    <w:nsid w:val="16502E49"/>
    <w:multiLevelType w:val="multilevel"/>
    <w:tmpl w:val="EE329E3C"/>
    <w:lvl w:ilvl="0">
      <w:start w:val="1"/>
      <w:numFmt w:val="decimal"/>
      <w:lvlText w:val="%1."/>
      <w:lvlJc w:val="left"/>
      <w:pPr>
        <w:ind w:left="720" w:hanging="360"/>
      </w:pPr>
    </w:lvl>
    <w:lvl w:ilvl="1">
      <w:start w:val="1"/>
      <w:numFmt w:val="decimal"/>
      <w:isLgl/>
      <w:lvlText w:val="%1.%2"/>
      <w:lvlJc w:val="left"/>
      <w:pPr>
        <w:ind w:left="1069" w:hanging="360"/>
      </w:pPr>
      <w:rPr>
        <w:b w:val="0"/>
        <w:bCs w:val="0"/>
        <w:lang w:val="en-US" w:bidi="he-IL"/>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3" w15:restartNumberingAfterBreak="0">
    <w:nsid w:val="17A555B8"/>
    <w:multiLevelType w:val="hybridMultilevel"/>
    <w:tmpl w:val="DC8EC6D6"/>
    <w:lvl w:ilvl="0" w:tplc="AA3E9FB8">
      <w:start w:val="1"/>
      <w:numFmt w:val="bullet"/>
      <w:lvlText w:val="-"/>
      <w:lvlJc w:val="left"/>
      <w:pPr>
        <w:ind w:left="1115" w:hanging="360"/>
      </w:pPr>
      <w:rPr>
        <w:rFonts w:ascii="David" w:eastAsiaTheme="minorHAnsi" w:hAnsi="David" w:cs="David" w:hint="default"/>
      </w:rPr>
    </w:lvl>
    <w:lvl w:ilvl="1" w:tplc="04090003">
      <w:start w:val="1"/>
      <w:numFmt w:val="bullet"/>
      <w:lvlText w:val="o"/>
      <w:lvlJc w:val="left"/>
      <w:pPr>
        <w:ind w:left="1835" w:hanging="360"/>
      </w:pPr>
      <w:rPr>
        <w:rFonts w:ascii="Courier New" w:hAnsi="Courier New" w:cs="Courier New" w:hint="default"/>
      </w:rPr>
    </w:lvl>
    <w:lvl w:ilvl="2" w:tplc="04090005">
      <w:start w:val="1"/>
      <w:numFmt w:val="bullet"/>
      <w:lvlText w:val=""/>
      <w:lvlJc w:val="left"/>
      <w:pPr>
        <w:ind w:left="2555" w:hanging="360"/>
      </w:pPr>
      <w:rPr>
        <w:rFonts w:ascii="Wingdings" w:hAnsi="Wingdings" w:hint="default"/>
      </w:rPr>
    </w:lvl>
    <w:lvl w:ilvl="3" w:tplc="04090001">
      <w:start w:val="1"/>
      <w:numFmt w:val="bullet"/>
      <w:lvlText w:val=""/>
      <w:lvlJc w:val="left"/>
      <w:pPr>
        <w:ind w:left="3275" w:hanging="360"/>
      </w:pPr>
      <w:rPr>
        <w:rFonts w:ascii="Symbol" w:hAnsi="Symbol" w:hint="default"/>
      </w:rPr>
    </w:lvl>
    <w:lvl w:ilvl="4" w:tplc="04090003">
      <w:start w:val="1"/>
      <w:numFmt w:val="bullet"/>
      <w:lvlText w:val="o"/>
      <w:lvlJc w:val="left"/>
      <w:pPr>
        <w:ind w:left="3995" w:hanging="360"/>
      </w:pPr>
      <w:rPr>
        <w:rFonts w:ascii="Courier New" w:hAnsi="Courier New" w:cs="Courier New" w:hint="default"/>
      </w:rPr>
    </w:lvl>
    <w:lvl w:ilvl="5" w:tplc="04090005">
      <w:start w:val="1"/>
      <w:numFmt w:val="bullet"/>
      <w:lvlText w:val=""/>
      <w:lvlJc w:val="left"/>
      <w:pPr>
        <w:ind w:left="4715" w:hanging="360"/>
      </w:pPr>
      <w:rPr>
        <w:rFonts w:ascii="Wingdings" w:hAnsi="Wingdings" w:hint="default"/>
      </w:rPr>
    </w:lvl>
    <w:lvl w:ilvl="6" w:tplc="04090001">
      <w:start w:val="1"/>
      <w:numFmt w:val="bullet"/>
      <w:lvlText w:val=""/>
      <w:lvlJc w:val="left"/>
      <w:pPr>
        <w:ind w:left="5435" w:hanging="360"/>
      </w:pPr>
      <w:rPr>
        <w:rFonts w:ascii="Symbol" w:hAnsi="Symbol" w:hint="default"/>
      </w:rPr>
    </w:lvl>
    <w:lvl w:ilvl="7" w:tplc="04090003">
      <w:start w:val="1"/>
      <w:numFmt w:val="bullet"/>
      <w:lvlText w:val="o"/>
      <w:lvlJc w:val="left"/>
      <w:pPr>
        <w:ind w:left="6155" w:hanging="360"/>
      </w:pPr>
      <w:rPr>
        <w:rFonts w:ascii="Courier New" w:hAnsi="Courier New" w:cs="Courier New" w:hint="default"/>
      </w:rPr>
    </w:lvl>
    <w:lvl w:ilvl="8" w:tplc="04090005">
      <w:start w:val="1"/>
      <w:numFmt w:val="bullet"/>
      <w:lvlText w:val=""/>
      <w:lvlJc w:val="left"/>
      <w:pPr>
        <w:ind w:left="6875" w:hanging="360"/>
      </w:pPr>
      <w:rPr>
        <w:rFonts w:ascii="Wingdings" w:hAnsi="Wingdings" w:hint="default"/>
      </w:rPr>
    </w:lvl>
  </w:abstractNum>
  <w:abstractNum w:abstractNumId="4" w15:restartNumberingAfterBreak="0">
    <w:nsid w:val="1B567A9A"/>
    <w:multiLevelType w:val="hybridMultilevel"/>
    <w:tmpl w:val="0D303966"/>
    <w:lvl w:ilvl="0" w:tplc="3ED027D2">
      <w:start w:val="1"/>
      <w:numFmt w:val="bullet"/>
      <w:lvlText w:val="-"/>
      <w:lvlJc w:val="left"/>
      <w:pPr>
        <w:ind w:left="1115" w:hanging="360"/>
      </w:pPr>
      <w:rPr>
        <w:rFonts w:ascii="David" w:eastAsiaTheme="minorHAnsi" w:hAnsi="David" w:cs="David" w:hint="default"/>
      </w:rPr>
    </w:lvl>
    <w:lvl w:ilvl="1" w:tplc="04090003">
      <w:start w:val="1"/>
      <w:numFmt w:val="bullet"/>
      <w:lvlText w:val="o"/>
      <w:lvlJc w:val="left"/>
      <w:pPr>
        <w:ind w:left="1835" w:hanging="360"/>
      </w:pPr>
      <w:rPr>
        <w:rFonts w:ascii="Courier New" w:hAnsi="Courier New" w:cs="Courier New" w:hint="default"/>
      </w:rPr>
    </w:lvl>
    <w:lvl w:ilvl="2" w:tplc="04090005">
      <w:start w:val="1"/>
      <w:numFmt w:val="bullet"/>
      <w:lvlText w:val=""/>
      <w:lvlJc w:val="left"/>
      <w:pPr>
        <w:ind w:left="2555" w:hanging="360"/>
      </w:pPr>
      <w:rPr>
        <w:rFonts w:ascii="Wingdings" w:hAnsi="Wingdings" w:hint="default"/>
      </w:rPr>
    </w:lvl>
    <w:lvl w:ilvl="3" w:tplc="04090001">
      <w:start w:val="1"/>
      <w:numFmt w:val="bullet"/>
      <w:lvlText w:val=""/>
      <w:lvlJc w:val="left"/>
      <w:pPr>
        <w:ind w:left="3275" w:hanging="360"/>
      </w:pPr>
      <w:rPr>
        <w:rFonts w:ascii="Symbol" w:hAnsi="Symbol" w:hint="default"/>
      </w:rPr>
    </w:lvl>
    <w:lvl w:ilvl="4" w:tplc="04090003">
      <w:start w:val="1"/>
      <w:numFmt w:val="bullet"/>
      <w:lvlText w:val="o"/>
      <w:lvlJc w:val="left"/>
      <w:pPr>
        <w:ind w:left="3995" w:hanging="360"/>
      </w:pPr>
      <w:rPr>
        <w:rFonts w:ascii="Courier New" w:hAnsi="Courier New" w:cs="Courier New" w:hint="default"/>
      </w:rPr>
    </w:lvl>
    <w:lvl w:ilvl="5" w:tplc="04090005">
      <w:start w:val="1"/>
      <w:numFmt w:val="bullet"/>
      <w:lvlText w:val=""/>
      <w:lvlJc w:val="left"/>
      <w:pPr>
        <w:ind w:left="4715" w:hanging="360"/>
      </w:pPr>
      <w:rPr>
        <w:rFonts w:ascii="Wingdings" w:hAnsi="Wingdings" w:hint="default"/>
      </w:rPr>
    </w:lvl>
    <w:lvl w:ilvl="6" w:tplc="04090001">
      <w:start w:val="1"/>
      <w:numFmt w:val="bullet"/>
      <w:lvlText w:val=""/>
      <w:lvlJc w:val="left"/>
      <w:pPr>
        <w:ind w:left="5435" w:hanging="360"/>
      </w:pPr>
      <w:rPr>
        <w:rFonts w:ascii="Symbol" w:hAnsi="Symbol" w:hint="default"/>
      </w:rPr>
    </w:lvl>
    <w:lvl w:ilvl="7" w:tplc="04090003">
      <w:start w:val="1"/>
      <w:numFmt w:val="bullet"/>
      <w:lvlText w:val="o"/>
      <w:lvlJc w:val="left"/>
      <w:pPr>
        <w:ind w:left="6155" w:hanging="360"/>
      </w:pPr>
      <w:rPr>
        <w:rFonts w:ascii="Courier New" w:hAnsi="Courier New" w:cs="Courier New" w:hint="default"/>
      </w:rPr>
    </w:lvl>
    <w:lvl w:ilvl="8" w:tplc="04090005">
      <w:start w:val="1"/>
      <w:numFmt w:val="bullet"/>
      <w:lvlText w:val=""/>
      <w:lvlJc w:val="left"/>
      <w:pPr>
        <w:ind w:left="6875" w:hanging="360"/>
      </w:pPr>
      <w:rPr>
        <w:rFonts w:ascii="Wingdings" w:hAnsi="Wingdings" w:hint="default"/>
      </w:rPr>
    </w:lvl>
  </w:abstractNum>
  <w:abstractNum w:abstractNumId="5" w15:restartNumberingAfterBreak="0">
    <w:nsid w:val="23582BFD"/>
    <w:multiLevelType w:val="hybridMultilevel"/>
    <w:tmpl w:val="21EEF140"/>
    <w:lvl w:ilvl="0" w:tplc="E51ABEDA">
      <w:start w:val="1"/>
      <w:numFmt w:val="hebrew1"/>
      <w:lvlText w:val="(%1)"/>
      <w:lvlJc w:val="left"/>
      <w:pPr>
        <w:ind w:left="755" w:hanging="360"/>
      </w:pPr>
      <w:rPr>
        <w:b/>
      </w:r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6" w15:restartNumberingAfterBreak="0">
    <w:nsid w:val="23A22F39"/>
    <w:multiLevelType w:val="hybridMultilevel"/>
    <w:tmpl w:val="8A6A6690"/>
    <w:lvl w:ilvl="0" w:tplc="2E303F2A">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7" w15:restartNumberingAfterBreak="0">
    <w:nsid w:val="30E5082F"/>
    <w:multiLevelType w:val="hybridMultilevel"/>
    <w:tmpl w:val="C64CD1FA"/>
    <w:lvl w:ilvl="0" w:tplc="C8FCF45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320076BB"/>
    <w:multiLevelType w:val="hybridMultilevel"/>
    <w:tmpl w:val="ECC8743C"/>
    <w:lvl w:ilvl="0" w:tplc="14D0C388">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9" w15:restartNumberingAfterBreak="0">
    <w:nsid w:val="32150397"/>
    <w:multiLevelType w:val="hybridMultilevel"/>
    <w:tmpl w:val="D76E36BA"/>
    <w:lvl w:ilvl="0" w:tplc="DA24220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0" w15:restartNumberingAfterBreak="0">
    <w:nsid w:val="364C4AA8"/>
    <w:multiLevelType w:val="hybridMultilevel"/>
    <w:tmpl w:val="18B06634"/>
    <w:lvl w:ilvl="0" w:tplc="C764F9C8">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1" w15:restartNumberingAfterBreak="0">
    <w:nsid w:val="37672E24"/>
    <w:multiLevelType w:val="hybridMultilevel"/>
    <w:tmpl w:val="D92AD2BC"/>
    <w:lvl w:ilvl="0" w:tplc="E6DE8EBA">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2" w15:restartNumberingAfterBreak="0">
    <w:nsid w:val="418955AE"/>
    <w:multiLevelType w:val="hybridMultilevel"/>
    <w:tmpl w:val="F64E9BB2"/>
    <w:lvl w:ilvl="0" w:tplc="F06C17AE">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3" w15:restartNumberingAfterBreak="0">
    <w:nsid w:val="47827B2D"/>
    <w:multiLevelType w:val="hybridMultilevel"/>
    <w:tmpl w:val="B3066552"/>
    <w:lvl w:ilvl="0" w:tplc="E756800C">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4" w15:restartNumberingAfterBreak="0">
    <w:nsid w:val="584C295F"/>
    <w:multiLevelType w:val="hybridMultilevel"/>
    <w:tmpl w:val="633C7562"/>
    <w:lvl w:ilvl="0" w:tplc="5E3A32AC">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5" w15:restartNumberingAfterBreak="0">
    <w:nsid w:val="5B453287"/>
    <w:multiLevelType w:val="hybridMultilevel"/>
    <w:tmpl w:val="E5A4734A"/>
    <w:lvl w:ilvl="0" w:tplc="63F638A8">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6" w15:restartNumberingAfterBreak="0">
    <w:nsid w:val="5CB96319"/>
    <w:multiLevelType w:val="hybridMultilevel"/>
    <w:tmpl w:val="CD5E4112"/>
    <w:lvl w:ilvl="0" w:tplc="1A940908">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7" w15:restartNumberingAfterBreak="0">
    <w:nsid w:val="61AC3C8A"/>
    <w:multiLevelType w:val="hybridMultilevel"/>
    <w:tmpl w:val="725E04FA"/>
    <w:lvl w:ilvl="0" w:tplc="0F14DC28">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8" w15:restartNumberingAfterBreak="0">
    <w:nsid w:val="639752CB"/>
    <w:multiLevelType w:val="hybridMultilevel"/>
    <w:tmpl w:val="31DC0B20"/>
    <w:lvl w:ilvl="0" w:tplc="9BD250E8">
      <w:start w:val="1"/>
      <w:numFmt w:val="bullet"/>
      <w:lvlText w:val="-"/>
      <w:lvlJc w:val="left"/>
      <w:pPr>
        <w:ind w:left="755" w:hanging="360"/>
      </w:pPr>
      <w:rPr>
        <w:rFonts w:ascii="David" w:eastAsiaTheme="minorHAnsi" w:hAnsi="David" w:cs="David" w:hint="default"/>
      </w:rPr>
    </w:lvl>
    <w:lvl w:ilvl="1" w:tplc="04090003">
      <w:start w:val="1"/>
      <w:numFmt w:val="bullet"/>
      <w:lvlText w:val="o"/>
      <w:lvlJc w:val="left"/>
      <w:pPr>
        <w:ind w:left="1475" w:hanging="360"/>
      </w:pPr>
      <w:rPr>
        <w:rFonts w:ascii="Courier New" w:hAnsi="Courier New" w:cs="Courier New" w:hint="default"/>
      </w:rPr>
    </w:lvl>
    <w:lvl w:ilvl="2" w:tplc="04090005">
      <w:start w:val="1"/>
      <w:numFmt w:val="bullet"/>
      <w:lvlText w:val=""/>
      <w:lvlJc w:val="left"/>
      <w:pPr>
        <w:ind w:left="2195" w:hanging="360"/>
      </w:pPr>
      <w:rPr>
        <w:rFonts w:ascii="Wingdings" w:hAnsi="Wingdings" w:hint="default"/>
      </w:rPr>
    </w:lvl>
    <w:lvl w:ilvl="3" w:tplc="04090001">
      <w:start w:val="1"/>
      <w:numFmt w:val="bullet"/>
      <w:lvlText w:val=""/>
      <w:lvlJc w:val="left"/>
      <w:pPr>
        <w:ind w:left="2915" w:hanging="360"/>
      </w:pPr>
      <w:rPr>
        <w:rFonts w:ascii="Symbol" w:hAnsi="Symbol" w:hint="default"/>
      </w:rPr>
    </w:lvl>
    <w:lvl w:ilvl="4" w:tplc="04090003">
      <w:start w:val="1"/>
      <w:numFmt w:val="bullet"/>
      <w:lvlText w:val="o"/>
      <w:lvlJc w:val="left"/>
      <w:pPr>
        <w:ind w:left="3635" w:hanging="360"/>
      </w:pPr>
      <w:rPr>
        <w:rFonts w:ascii="Courier New" w:hAnsi="Courier New" w:cs="Courier New" w:hint="default"/>
      </w:rPr>
    </w:lvl>
    <w:lvl w:ilvl="5" w:tplc="04090005">
      <w:start w:val="1"/>
      <w:numFmt w:val="bullet"/>
      <w:lvlText w:val=""/>
      <w:lvlJc w:val="left"/>
      <w:pPr>
        <w:ind w:left="4355" w:hanging="360"/>
      </w:pPr>
      <w:rPr>
        <w:rFonts w:ascii="Wingdings" w:hAnsi="Wingdings" w:hint="default"/>
      </w:rPr>
    </w:lvl>
    <w:lvl w:ilvl="6" w:tplc="04090001">
      <w:start w:val="1"/>
      <w:numFmt w:val="bullet"/>
      <w:lvlText w:val=""/>
      <w:lvlJc w:val="left"/>
      <w:pPr>
        <w:ind w:left="5075" w:hanging="360"/>
      </w:pPr>
      <w:rPr>
        <w:rFonts w:ascii="Symbol" w:hAnsi="Symbol" w:hint="default"/>
      </w:rPr>
    </w:lvl>
    <w:lvl w:ilvl="7" w:tplc="04090003">
      <w:start w:val="1"/>
      <w:numFmt w:val="bullet"/>
      <w:lvlText w:val="o"/>
      <w:lvlJc w:val="left"/>
      <w:pPr>
        <w:ind w:left="5795" w:hanging="360"/>
      </w:pPr>
      <w:rPr>
        <w:rFonts w:ascii="Courier New" w:hAnsi="Courier New" w:cs="Courier New" w:hint="default"/>
      </w:rPr>
    </w:lvl>
    <w:lvl w:ilvl="8" w:tplc="04090005">
      <w:start w:val="1"/>
      <w:numFmt w:val="bullet"/>
      <w:lvlText w:val=""/>
      <w:lvlJc w:val="left"/>
      <w:pPr>
        <w:ind w:left="6515" w:hanging="360"/>
      </w:pPr>
      <w:rPr>
        <w:rFonts w:ascii="Wingdings" w:hAnsi="Wingdings" w:hint="default"/>
      </w:rPr>
    </w:lvl>
  </w:abstractNum>
  <w:abstractNum w:abstractNumId="19" w15:restartNumberingAfterBreak="0">
    <w:nsid w:val="69290C23"/>
    <w:multiLevelType w:val="hybridMultilevel"/>
    <w:tmpl w:val="44AA9EF4"/>
    <w:lvl w:ilvl="0" w:tplc="87B4942E">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20" w15:restartNumberingAfterBreak="0">
    <w:nsid w:val="6D5B1BBF"/>
    <w:multiLevelType w:val="hybridMultilevel"/>
    <w:tmpl w:val="EDA20758"/>
    <w:lvl w:ilvl="0" w:tplc="68AAD384">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21" w15:restartNumberingAfterBreak="0">
    <w:nsid w:val="6F0449A4"/>
    <w:multiLevelType w:val="hybridMultilevel"/>
    <w:tmpl w:val="E528EEFA"/>
    <w:lvl w:ilvl="0" w:tplc="BB82DAA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1022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10227&amp;lt;/CaseID&amp;gt;_x000d__x000a_        &amp;lt;CaseMonth&amp;gt;12&amp;lt;/CaseMonth&amp;gt;_x000d__x000a_        &amp;lt;CaseYear&amp;gt;2021&amp;lt;/CaseYear&amp;gt;_x000d__x000a_        &amp;lt;CaseNumber&amp;gt;56450&amp;lt;/CaseNumber&amp;gt;_x000d__x000a_        &amp;lt;NumeratorGroupID&amp;gt;1&amp;lt;/NumeratorGroupID&amp;gt;_x000d__x000a_        &amp;lt;CaseName&amp;gt;דרעי נ&amp;#39; כספית&amp;lt;/CaseName&amp;gt;_x000d__x000a_        &amp;lt;CourtID&amp;gt;32&amp;lt;/CourtID&amp;gt;_x000d__x000a_        &amp;lt;CaseTypeID&amp;gt;1&amp;lt;/CaseTypeID&amp;gt;_x000d__x000a_        &amp;lt;CaseInterestID&amp;gt;46&amp;lt;/CaseInterestID&amp;gt;_x000d__x000a_        &amp;lt;CaseJudgeName&amp;gt;אביים ברקא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6450-12-21&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12-26T16:00:00+02:00&amp;lt;/CaseOpenDate&amp;gt;_x000d__x000a_        &amp;lt;PleaTypeID&amp;gt;4&amp;lt;/PleaTypeID&amp;gt;_x000d__x000a_        &amp;lt;CourtLevelID&amp;gt;1&amp;lt;/CourtLevelID&amp;gt;_x000d__x000a_        &amp;lt;CourtLevelCaseTypeInterestID&amp;gt;5&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amp;gt;החלטה הועברה במייל לאחראית קלדניו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10227&amp;lt;/CaseID&amp;gt;_x000d__x000a_        &amp;lt;CaseMonth&amp;gt;12&amp;lt;/CaseMonth&amp;gt;_x000d__x000a_        &amp;lt;CaseYear&amp;gt;2021&amp;lt;/CaseYear&amp;gt;_x000d__x000a_        &amp;lt;CaseNumber&amp;gt;56450&amp;lt;/CaseNumber&amp;gt;_x000d__x000a_        &amp;lt;NumeratorGroupID&amp;gt;1&amp;lt;/NumeratorGroupID&amp;gt;_x000d__x000a_        &amp;lt;CaseName&amp;gt;דרעי נ&amp;#39; כספית&amp;lt;/CaseName&amp;gt;_x000d__x000a_        &amp;lt;CourtID&amp;gt;32&amp;lt;/CourtID&amp;gt;_x000d__x000a_        &amp;lt;CaseTypeID&amp;gt;1&amp;lt;/CaseTypeID&amp;gt;_x000d__x000a_        &amp;lt;CaseInterestID&amp;gt;46&amp;lt;/CaseInterestID&amp;gt;_x000d__x000a_        &amp;lt;CaseJudgeName&amp;gt;אביים ברקא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6450-12-21&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CaseNextDeterminingTask&amp;gt;257&amp;lt;/CaseNextDeterminingTask&amp;gt;_x000d__x000a_        &amp;lt;CaseOpenDate&amp;gt;2021-12-26T16:00:00+02:00&amp;lt;/CaseOpenDate&amp;gt;_x000d__x000a_        &amp;lt;PleaTypeID&amp;gt;4&amp;lt;/PleaTypeID&amp;gt;_x000d__x000a_        &amp;lt;CourtLevelID&amp;gt;1&amp;lt;/CourtLevelID&amp;gt;_x000d__x000a_        &amp;lt;CourtLevelCaseTypeInterestID&amp;gt;5&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amp;gt;החלטה הועברה במייל לאחראית קלדניו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50665&amp;lt;/DecisionID&amp;gt;_x000d__x000a_        &amp;lt;DecisionName&amp;gt;פסק דין  שניתנה ע&amp;quot;י  אביים ברקאי&amp;lt;/DecisionName&amp;gt;_x000d__x000a_        &amp;lt;DecisionStatusID&amp;gt;1&amp;lt;/DecisionStatusID&amp;gt;_x000d__x000a_        &amp;lt;DecisionStatusChangeDate&amp;gt;2023-08-27T21:40:00.147+03:00&amp;lt;/DecisionStatusChangeDate&amp;gt;_x000d__x000a_        &amp;lt;DecisionSignatureDate&amp;gt;2023-08-27T20:53:21.87+03:00&amp;lt;/DecisionSignatureDate&amp;gt;_x000d__x000a_        &amp;lt;DecisionSignatureUserID&amp;gt;022147607@GOV.IL&amp;lt;/DecisionSignatureUserID&amp;gt;_x000d__x000a_        &amp;lt;DecisionCreateDate&amp;gt;2023-08-27T20:56:30.173+03:00&amp;lt;/DecisionCreateDate&amp;gt;_x000d__x000a_        &amp;lt;DecisionChangeDate&amp;gt;2023-08-27T21:40:00.31+03:00&amp;lt;/DecisionChangeDate&amp;gt;_x000d__x000a_        &amp;lt;DecisionChangeUserID&amp;gt;02214760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184328&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14760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147607@GOV.IL&amp;lt;/DecisionCreationUserID&amp;gt;_x000d__x000a_        &amp;lt;DecisionDisplayName&amp;gt;פסק דין  שניתנה ע&amp;quot;י  אביים ברקאי&amp;lt;/DecisionDisplayName&amp;gt;_x000d__x000a_        &amp;lt;IsScanned&amp;gt;false&amp;lt;/IsScanned&amp;gt;_x000d__x000a_        &amp;lt;DecisionSignatureUserName&amp;gt;אביים ברק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46850665&amp;lt;/DecisionID&amp;gt;_x000d__x000a_        &amp;lt;CaseID&amp;gt;78910227&amp;lt;/CaseID&amp;gt;_x000d__x000a_        &amp;lt;IsOriginal&amp;gt;true&amp;lt;/IsOriginal&amp;gt;_x000d__x000a_        &amp;lt;IsDeleted&amp;gt;false&amp;lt;/IsDeleted&amp;gt;_x000d__x000a_        &amp;lt;CaseName&amp;gt;דרעי נ&amp;#39; כספית&amp;lt;/CaseName&amp;gt;_x000d__x000a_        &amp;lt;CaseDisplayIdentifier&amp;gt;56450-12-21 ת&amp;quot;א&amp;lt;/CaseDisplayIdentifier&amp;gt;_x000d__x000a_      &amp;lt;/dt_DecisionCase&amp;gt;_x000d__x000a_    &amp;lt;/DecisionDS&amp;gt;_x000d__x000a_  &amp;lt;/diffgr:diffgram&amp;gt;_x000d__x000a_&amp;lt;/DecisionDS&amp;gt;"/>
    <w:docVar w:name="DecisionID" w:val="146850665"/>
    <w:docVar w:name="WordClientAssemblyName" w:val="NGCS.Decision.ClientWordBL"/>
    <w:docVar w:name="WordClientClassName" w:val="NGCS.Decision.ClientWordBL.DecisionClient"/>
  </w:docVars>
  <w:rsids>
    <w:rsidRoot w:val="00694556"/>
    <w:rsid w:val="00005C8B"/>
    <w:rsid w:val="000146C2"/>
    <w:rsid w:val="00016C35"/>
    <w:rsid w:val="000258FD"/>
    <w:rsid w:val="000456A9"/>
    <w:rsid w:val="000564AB"/>
    <w:rsid w:val="00071ABA"/>
    <w:rsid w:val="000738A9"/>
    <w:rsid w:val="00093964"/>
    <w:rsid w:val="000B2E97"/>
    <w:rsid w:val="000D4A02"/>
    <w:rsid w:val="000E5C57"/>
    <w:rsid w:val="001072A9"/>
    <w:rsid w:val="00121F97"/>
    <w:rsid w:val="001277D7"/>
    <w:rsid w:val="00132017"/>
    <w:rsid w:val="00140E42"/>
    <w:rsid w:val="0014234E"/>
    <w:rsid w:val="00145A87"/>
    <w:rsid w:val="00167260"/>
    <w:rsid w:val="001C4003"/>
    <w:rsid w:val="001C46E6"/>
    <w:rsid w:val="001F5474"/>
    <w:rsid w:val="00220B94"/>
    <w:rsid w:val="002352F7"/>
    <w:rsid w:val="00295DD1"/>
    <w:rsid w:val="002D75AF"/>
    <w:rsid w:val="0033027D"/>
    <w:rsid w:val="003725BC"/>
    <w:rsid w:val="00381D3A"/>
    <w:rsid w:val="003823DA"/>
    <w:rsid w:val="00405D15"/>
    <w:rsid w:val="0043595F"/>
    <w:rsid w:val="00445367"/>
    <w:rsid w:val="0045601F"/>
    <w:rsid w:val="0046753C"/>
    <w:rsid w:val="0047645A"/>
    <w:rsid w:val="004A20E3"/>
    <w:rsid w:val="004B78B1"/>
    <w:rsid w:val="004C5CA7"/>
    <w:rsid w:val="004D00AF"/>
    <w:rsid w:val="004D49A3"/>
    <w:rsid w:val="004E6E3C"/>
    <w:rsid w:val="005124F1"/>
    <w:rsid w:val="00530BAD"/>
    <w:rsid w:val="0053320B"/>
    <w:rsid w:val="00534389"/>
    <w:rsid w:val="00541598"/>
    <w:rsid w:val="00547DB7"/>
    <w:rsid w:val="00567324"/>
    <w:rsid w:val="005851DD"/>
    <w:rsid w:val="00590BFF"/>
    <w:rsid w:val="005B0F49"/>
    <w:rsid w:val="005C7EC6"/>
    <w:rsid w:val="005D4BDB"/>
    <w:rsid w:val="0060626B"/>
    <w:rsid w:val="00622BAA"/>
    <w:rsid w:val="00625C89"/>
    <w:rsid w:val="00633C4F"/>
    <w:rsid w:val="00664363"/>
    <w:rsid w:val="00671BD5"/>
    <w:rsid w:val="006805C1"/>
    <w:rsid w:val="006816EC"/>
    <w:rsid w:val="006944AD"/>
    <w:rsid w:val="00694556"/>
    <w:rsid w:val="00697B51"/>
    <w:rsid w:val="006A1BE2"/>
    <w:rsid w:val="006A60F8"/>
    <w:rsid w:val="006D5B93"/>
    <w:rsid w:val="006E1A53"/>
    <w:rsid w:val="007056AA"/>
    <w:rsid w:val="00724B54"/>
    <w:rsid w:val="00744F41"/>
    <w:rsid w:val="00776AD1"/>
    <w:rsid w:val="007811B3"/>
    <w:rsid w:val="00795ADF"/>
    <w:rsid w:val="007A24FE"/>
    <w:rsid w:val="007A35AA"/>
    <w:rsid w:val="007F1048"/>
    <w:rsid w:val="00820005"/>
    <w:rsid w:val="00830BEF"/>
    <w:rsid w:val="0083107C"/>
    <w:rsid w:val="00846D27"/>
    <w:rsid w:val="008610A7"/>
    <w:rsid w:val="008920A3"/>
    <w:rsid w:val="008D6980"/>
    <w:rsid w:val="008E1332"/>
    <w:rsid w:val="00903896"/>
    <w:rsid w:val="00903B53"/>
    <w:rsid w:val="00927813"/>
    <w:rsid w:val="00934F1C"/>
    <w:rsid w:val="00944D13"/>
    <w:rsid w:val="00957C90"/>
    <w:rsid w:val="009E0263"/>
    <w:rsid w:val="009E741C"/>
    <w:rsid w:val="00A0193B"/>
    <w:rsid w:val="00A0260A"/>
    <w:rsid w:val="00A267CF"/>
    <w:rsid w:val="00A43458"/>
    <w:rsid w:val="00A62BD0"/>
    <w:rsid w:val="00A75828"/>
    <w:rsid w:val="00A84C23"/>
    <w:rsid w:val="00AC34F6"/>
    <w:rsid w:val="00AC4E19"/>
    <w:rsid w:val="00AF1ED6"/>
    <w:rsid w:val="00AF4634"/>
    <w:rsid w:val="00B14234"/>
    <w:rsid w:val="00B24F9B"/>
    <w:rsid w:val="00B27566"/>
    <w:rsid w:val="00B32C61"/>
    <w:rsid w:val="00B368FE"/>
    <w:rsid w:val="00B52482"/>
    <w:rsid w:val="00B676AB"/>
    <w:rsid w:val="00B80CBD"/>
    <w:rsid w:val="00BC3369"/>
    <w:rsid w:val="00BE109F"/>
    <w:rsid w:val="00BF77EE"/>
    <w:rsid w:val="00C1755C"/>
    <w:rsid w:val="00C32E0F"/>
    <w:rsid w:val="00C42BF9"/>
    <w:rsid w:val="00C57266"/>
    <w:rsid w:val="00C83E56"/>
    <w:rsid w:val="00CB4F7C"/>
    <w:rsid w:val="00CD0055"/>
    <w:rsid w:val="00D26B56"/>
    <w:rsid w:val="00D319B3"/>
    <w:rsid w:val="00D53924"/>
    <w:rsid w:val="00D60849"/>
    <w:rsid w:val="00D71731"/>
    <w:rsid w:val="00D96D8C"/>
    <w:rsid w:val="00DD337E"/>
    <w:rsid w:val="00DD5BA2"/>
    <w:rsid w:val="00DE78FD"/>
    <w:rsid w:val="00E00B6F"/>
    <w:rsid w:val="00E0607A"/>
    <w:rsid w:val="00E13360"/>
    <w:rsid w:val="00E50B33"/>
    <w:rsid w:val="00E54642"/>
    <w:rsid w:val="00E97908"/>
    <w:rsid w:val="00EF3ED0"/>
    <w:rsid w:val="00F17E56"/>
    <w:rsid w:val="00F457AC"/>
    <w:rsid w:val="00FC4B1B"/>
    <w:rsid w:val="00FE586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0607A"/>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listparagraph">
    <w:name w:val="listparagraph"/>
    <w:basedOn w:val="a"/>
    <w:uiPriority w:val="99"/>
    <w:rsid w:val="00E0607A"/>
    <w:pPr>
      <w:spacing w:after="160" w:line="252" w:lineRule="auto"/>
      <w:ind w:left="720"/>
    </w:pPr>
    <w:rPr>
      <w:rFonts w:ascii="Calibri" w:hAnsi="Calibri" w:cs="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89901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9053404">
      <w:bodyDiv w:val="1"/>
      <w:marLeft w:val="0"/>
      <w:marRight w:val="0"/>
      <w:marTop w:val="0"/>
      <w:marBottom w:val="0"/>
      <w:divBdr>
        <w:top w:val="none" w:sz="0" w:space="0" w:color="auto"/>
        <w:left w:val="none" w:sz="0" w:space="0" w:color="auto"/>
        <w:bottom w:val="none" w:sz="0" w:space="0" w:color="auto"/>
        <w:right w:val="none" w:sz="0" w:space="0" w:color="auto"/>
      </w:divBdr>
    </w:div>
    <w:div w:id="159181592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
      <w:docPartPr>
        <w:name w:val="CF23C55E153C472887A89D9B7136BCD7"/>
        <w:category>
          <w:name w:val="כללי"/>
          <w:gallery w:val="placeholder"/>
        </w:category>
        <w:types>
          <w:type w:val="bbPlcHdr"/>
        </w:types>
        <w:behaviors>
          <w:behavior w:val="content"/>
        </w:behaviors>
        <w:guid w:val="{36E9EF2C-15FA-4B95-A211-BCB9CC7330BA}"/>
      </w:docPartPr>
      <w:docPartBody>
        <w:p w:rsidR="00F872AB" w:rsidRDefault="00F872AB" w:rsidP="00F872AB">
          <w:pPr>
            <w:pStyle w:val="CF23C55E153C472887A89D9B7136BCD71"/>
          </w:pPr>
          <w:r>
            <w:rPr>
              <w:rFonts w:ascii="Arial" w:hAnsi="Arial"/>
              <w:b/>
              <w:bCs/>
              <w:noProof w:val="0"/>
              <w:sz w:val="26"/>
              <w:szCs w:val="26"/>
              <w:rtl/>
            </w:rPr>
            <w:t>שם צד א' ללא שם של חסוי</w:t>
          </w:r>
        </w:p>
      </w:docPartBody>
    </w:docPart>
    <w:docPart>
      <w:docPartPr>
        <w:name w:val="194E34B33324450F97AD1D486216FCF5"/>
        <w:category>
          <w:name w:val="כללי"/>
          <w:gallery w:val="placeholder"/>
        </w:category>
        <w:types>
          <w:type w:val="bbPlcHdr"/>
        </w:types>
        <w:behaviors>
          <w:behavior w:val="content"/>
        </w:behaviors>
        <w:guid w:val="{F80DDA68-6EB1-44C9-9CD0-E49E279BC75A}"/>
      </w:docPartPr>
      <w:docPartBody>
        <w:p w:rsidR="00F872AB" w:rsidRDefault="00F872AB" w:rsidP="00F872AB">
          <w:pPr>
            <w:pStyle w:val="194E34B33324450F97AD1D486216FCF51"/>
          </w:pPr>
          <w:r>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992B1E"/>
    <w:rsid w:val="00CC5512"/>
    <w:rsid w:val="00F872A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72AB"/>
    <w:rPr>
      <w:color w:val="808080"/>
    </w:rPr>
  </w:style>
  <w:style w:type="paragraph" w:customStyle="1" w:styleId="CF23C55E153C472887A89D9B7136BCD7">
    <w:name w:val="CF23C55E153C472887A89D9B7136BCD7"/>
    <w:rsid w:val="00992B1E"/>
    <w:pPr>
      <w:bidi/>
    </w:pPr>
  </w:style>
  <w:style w:type="paragraph" w:customStyle="1" w:styleId="194E34B33324450F97AD1D486216FCF5">
    <w:name w:val="194E34B33324450F97AD1D486216FCF5"/>
    <w:rsid w:val="00992B1E"/>
    <w:pPr>
      <w:bidi/>
    </w:pPr>
  </w:style>
  <w:style w:type="paragraph" w:customStyle="1" w:styleId="CF23C55E153C472887A89D9B7136BCD71">
    <w:name w:val="CF23C55E153C472887A89D9B7136BCD71"/>
    <w:rsid w:val="00F872AB"/>
    <w:pPr>
      <w:bidi/>
      <w:spacing w:after="0" w:line="240" w:lineRule="auto"/>
    </w:pPr>
    <w:rPr>
      <w:rFonts w:ascii="Times New Roman" w:eastAsia="Times New Roman" w:hAnsi="Times New Roman" w:cs="David"/>
      <w:noProof/>
      <w:sz w:val="24"/>
      <w:szCs w:val="24"/>
    </w:rPr>
  </w:style>
  <w:style w:type="paragraph" w:customStyle="1" w:styleId="194E34B33324450F97AD1D486216FCF51">
    <w:name w:val="194E34B33324450F97AD1D486216FCF51"/>
    <w:rsid w:val="00F872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אבי בן מאיר</FullName>
        <FirstName>אבי</FirstName>
        <LastName>בן מאיר</LastName>
        <PartyPropertyName/>
        <AuthenticationTypeAndNumber>ת"ז 024600942</AuthenticationTypeAndNumber>
        <RepresentatedOrRepresentativesNames/>
        <RepresentatedOrRepresentativesCount>0</RepresentatedOrRepresentativesCount>
        <InvitedBy/>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238387900</CasePartyID>
        <PartyTypeID>3</PartyTypeID>
        <ActivityStatusID>1</ActivityStatusID>
        <LegalEntityID>76098175</LegalEntityID>
        <CaseLegalEntityID>118970405</CaseLegalEntityID>
        <AssistantRoleID>103</AssistantRoleID>
        <AuthenticationTypeID>1</AuthenticationTypeID>
        <AuthenticationTypeName>ת"ז</AuthenticationTypeName>
        <LegalEntityNumber>024600942</LegalEntityNumber>
        <IsMainPartyType>true</IsMainPartyType>
        <CaseDisplayIdentifier>56450-12-21</CaseDisplayIdentifier>
        <CaseTypeID>1</CaseTypeID>
        <CaseTypeName>תיק אזרחי בסדר דין רגיל (ת"א)</CaseTypeName>
        <CaseName>דרעי נ' כספית</CaseName>
        <FullAddress>לילנבלום 44 תל אביב -יפו </FullAddress>
        <EmailAddress>avi@wa-law.co.il</EmailAddress>
        <MotionID>0</MotionID>
        <CasePleaID>0</CasePleaID>
        <FatherName xml:space="preserve">        </FatherName>
        <LinkedCaseID>0</LinkedCaseID>
        <PartyID>1</PartyID>
        <CasePartyCategoryID>2</CasePartyCategoryID>
        <LegalEntityAddressID>79560060</LegalEntityAddressID>
        <LegalEntityEmailAddressID>67933860</LegalEntityEmailAddressID>
        <PleaTypeID>4</PleaTypeID>
        <GroupPartyAlias/>
        <IsConverted>false</IsConverted>
        <LegalEntityNameID>83296240</LegalEntityNameID>
        <RepresentatedNamesOfAssistant/>
        <LegalEntityTypeID>11</LegalEntityTypeID>
        <IsVerdictExists>false</IsVerdictExists>
        <IsAsirAzir>false</IsAsirAzir>
        <IsPublicationProhibited>false</IsPublicationProhibited>
        <PublicationProhibitedFullName>אבי בן מאיר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אילן בומבך</FullName>
        <FirstName>אילן</FirstName>
        <LastName>בומבך</LastName>
        <PartyPropertyName/>
        <AuthenticationTypeAndNumber>מ.ר. 15295</AuthenticationTypeAndNumber>
        <RepresentatedOrRepresentativesNames>אריה מכלוף דרעי</RepresentatedOrRepresentativesNames>
        <RepresentatedOrRepresentativesCount>1</RepresentatedOrRepresentativesCount>
        <InvitedBy/>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235209903</CasePartyID>
        <PartyTypeID>2</PartyTypeID>
        <ActivityStatusID>1</ActivityStatusID>
        <PartyAliasID>20</PartyAliasID>
        <PartyAliasName>בא כוח תובעים</PartyAliasName>
        <OrdinalNumber>1</OrdinalNumber>
        <LegalEntityID>383622</LegalEntityID>
        <CaseLegalEntityID>118019746</CaseLegalEntityID>
        <AuthenticationTypeID>4</AuthenticationTypeID>
        <AuthenticationTypeName>מ.ר.</AuthenticationTypeName>
        <LegalEntityNumber>15295</LegalEntityNumber>
        <IsMainPartyType>true</IsMainPartyType>
        <CaseDisplayIdentifier>56450-12-21</CaseDisplayIdentifier>
        <CaseTypeID>1</CaseTypeID>
        <CaseTypeName>תיק אזרחי בסדר דין רגיל (ת"א)</CaseTypeName>
        <CaseName>דרעי נ' כספית</CaseName>
        <FullAddress>ויצמן 2/א תל אביב -יפו מגדל אירופה -ישראל</FullAddress>
        <EmailAddress>ilan@bombachlaw.co.il</EmailAddress>
        <MotionID>0</MotionID>
        <CasePleaID>0</CasePleaID>
        <FatherName xml:space="preserve">        </FatherName>
        <LinkedCaseID>0</LinkedCaseID>
        <PartyID>1</PartyID>
        <CasePartyCategoryID>2</CasePartyCategoryID>
        <LegalEntityAddressID>2122679</LegalEntityAddressID>
        <LegalEntityEmailAddressID>19819548</LegalEntityEmailAddressID>
        <PleaTypeID>4</PleaTypeID>
        <LawyerOfficeName>משרד עו"ד: אילן בומבך</LawyerOfficeName>
        <LawyerOfficeID>424266</LawyerOfficeID>
        <GroupPartyAlias/>
        <IsConverted>false</IsConverted>
        <LegalEntityNameID>4606</LegalEntityNameID>
        <RepresentatedNamesOfAssistant/>
        <LegalEntityTypeID>4</LegalEntityTypeID>
        <IsVerdictExists>false</IsVerdictExists>
        <IsAsirAzir>false</IsAsirAzir>
        <IsPublicationProhibited>false</IsPublicationProhibited>
        <PublicationProhibitedFullName>אילן בומבך</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אריה מכלוף דרעי</FullName>
        <FirstName>אריה מכלוף</FirstName>
        <LastName>דרעי</LastName>
        <PartyPropertyName/>
        <AuthenticationTypeAndNumber>ת"ז 069577674</AuthenticationTypeAndNumber>
        <RepresentatedOrRepresentativesNames>אילן בומבך</RepresentatedOrRepresentativesNames>
        <RepresentatedOrRepresentativesCount>1</RepresentatedOrRepresentativesCount>
        <InvitedBy/>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235209902</CasePartyID>
        <PartyTypeID>1</PartyTypeID>
        <ActivityStatusID>1</ActivityStatusID>
        <PartyAliasID>1</PartyAliasID>
        <PartyAliasName>תובע</PartyAliasName>
        <OrdinalNumber>1</OrdinalNumber>
        <LegalEntityID>6221886</LegalEntityID>
        <CaseLegalEntityID>118019745</CaseLegalEntityID>
        <AuthenticationTypeID>1</AuthenticationTypeID>
        <AuthenticationTypeName>ת"ז</AuthenticationTypeName>
        <LegalEntityNumber>069577674</LegalEntityNumber>
        <IsMainPartyType>true</IsMainPartyType>
        <CaseDisplayIdentifier>56450-12-21</CaseDisplayIdentifier>
        <CaseTypeID>1</CaseTypeID>
        <CaseTypeName>תיק אזרחי בסדר דין רגיל (ת"א)</CaseTypeName>
        <CaseName>דרעי נ' כספית</CaseName>
        <FullAddress>הקבלן 28/13 ירושלים </FullAddress>
        <MotionID>0</MotionID>
        <CasePleaID>0</CasePleaID>
        <BirthDate>1959-01-01T00:00:00+02:00</BirthDate>
        <FatherName>אלי</FatherName>
        <LinkedCaseID>0</LinkedCaseID>
        <PartyID>1</PartyID>
        <CasePartyCategoryID>2</CasePartyCategoryID>
        <LegalEntityAddressID>85995721</LegalEntityAddressID>
        <PleaTypeID>4</PleaTypeID>
        <GroupPartyAlias>תובעים</GroupPartyAlias>
        <IsConverted>false</IsConverted>
        <LegalEntityRegisteredNameID>2420083</LegalEntityRegisteredNameID>
        <LegalEntityNameID>92439138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אריה מכלוף דרעי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בן כספית</FullName>
        <FirstName>בן</FirstName>
        <LastName>כספית</LastName>
        <PartyPropertyName/>
        <AuthenticationTypeAndNumber>ת"ז </AuthenticationTypeAndNumber>
        <RepresentatedOrRepresentativesNames>יורם מושקט</RepresentatedOrRepresentativesNames>
        <RepresentatedOrRepresentativesCount>1</RepresentatedOrRepresentativesCount>
        <InvitedBy/>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235209904</CasePartyID>
        <PartyTypeID>1</PartyTypeID>
        <ActivityStatusID>1</ActivityStatusID>
        <PartyAliasID>2</PartyAliasID>
        <PartyAliasName>נתבע</PartyAliasName>
        <OrdinalNumber>1</OrdinalNumber>
        <LegalEntityID>80212711</LegalEntityID>
        <CaseLegalEntityID>118019747</CaseLegalEntityID>
        <AuthenticationTypeID>1</AuthenticationTypeID>
        <AuthenticationTypeName>ת"ז</AuthenticationTypeName>
        <IsMainPartyType>true</IsMainPartyType>
        <CaseDisplayIdentifier>56450-12-21</CaseDisplayIdentifier>
        <CaseTypeID>1</CaseTypeID>
        <CaseTypeName>תיק אזרחי בסדר דין רגיל (ת"א)</CaseTypeName>
        <CaseName>דרעי נ' כספית</CaseName>
        <FullAddress>הרדוף 14 הוד השרון </FullAddress>
        <MotionID>0</MotionID>
        <CasePleaID>0</CasePleaID>
        <LinkedCaseID>0</LinkedCaseID>
        <PartyID>2</PartyID>
        <CasePartyCategoryID>2</CasePartyCategoryID>
        <LegalEntityAddressID>85988257</LegalEntityAddressID>
        <PleaTypeID>4</PleaTypeID>
        <GroupPartyAlias>נתבעים</GroupPartyAlias>
        <IsConverted>false</IsConverted>
        <LegalEntityNameID>92439139</LegalEntityNameID>
        <RepresentatedNamesOfAssistant/>
        <LegalEntityTypeID>1</LegalEntityTypeID>
        <IsVerdictExists>false</IsVerdictExists>
        <IsAsirAzir>false</IsAsirAzir>
        <IsPublicationProhibited>false</IsPublicationProhibited>
        <PublicationProhibitedFullName>בן כספית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יורם מושקט</FullName>
        <FirstName>יורם</FirstName>
        <LastName>מושקט</LastName>
        <PartyPropertyName/>
        <AuthenticationTypeAndNumber>מ.ר. 6221</AuthenticationTypeAndNumber>
        <RepresentatedOrRepresentativesNames>בן כספית</RepresentatedOrRepresentativesNames>
        <RepresentatedOrRepresentativesCount>1</RepresentatedOrRepresentativesCount>
        <InvitedBy/>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235855354</CasePartyID>
        <PartyTypeID>2</PartyTypeID>
        <ActivityStatusID>1</ActivityStatusID>
        <PartyAliasID>21</PartyAliasID>
        <PartyAliasName>בא כוח נתבעים</PartyAliasName>
        <OrdinalNumber>1</OrdinalNumber>
        <LegalEntityID>380443</LegalEntityID>
        <CaseLegalEntityID>118216097</CaseLegalEntityID>
        <AuthenticationTypeID>4</AuthenticationTypeID>
        <AuthenticationTypeName>מ.ר.</AuthenticationTypeName>
        <LegalEntityNumber>6221</LegalEntityNumber>
        <IsMainPartyType>true</IsMainPartyType>
        <CaseDisplayIdentifier>56450-12-21</CaseDisplayIdentifier>
        <CaseTypeID>1</CaseTypeID>
        <CaseTypeName>תיק אזרחי בסדר דין רגיל (ת"א)</CaseTypeName>
        <CaseName>דרעי נ' כספית</CaseName>
        <FullAddress>יהודה הלוי 85 תל אביב -יפו </FullAddress>
        <EmailAddress>yoram@muszkat.co.il</EmailAddress>
        <MotionID>0</MotionID>
        <CasePleaID>0</CasePleaID>
        <LinkedCaseID>0</LinkedCaseID>
        <PartyID>2</PartyID>
        <CasePartyCategoryID>2</CasePartyCategoryID>
        <LegalEntityAddressID>77083153</LegalEntityAddressID>
        <LegalEntityEmailAddressID>67912810</LegalEntityEmailAddressID>
        <PleaTypeID>4</PleaTypeID>
        <LawyerOfficeName>מושקט יורם ושות' - משרד עו"ד</LawyerOfficeName>
        <LawyerOfficeID>419179</LawyerOfficeID>
        <GroupPartyAlias/>
        <IsConverted>false</IsConverted>
        <LegalEntityNameID>1427</LegalEntityNameID>
        <RepresentatedNamesOfAssistant/>
        <LegalEntityTypeID>4</LegalEntityTypeID>
        <IsVerdictExists>false</IsVerdictExists>
        <IsAsirAzir>false</IsAsirAzir>
        <IsPublicationProhibited>false</IsPublicationProhibited>
        <PublicationProhibitedFullName>יורם מושקט</PublicationProhibitedFullName>
      </CaseParties>
    </CasePartiesSelectionDS>
    <DecisionName>פסק דין  שניתנה ע"י  אביים ברקאי</DecisionName>
    <CourtDisplayName>בית משפט השלום בתל אביב -יפו</CourtDisplayName>
    <IsCaseJudgePanel>false</IsCaseJudgePanel>
    <DecisionSignatureDate>2023-08-27T20:53:21.8694572+03:00</DecisionSignatureDate>
    <OpenCaseDate>2021-12-26T16:00:00+02:00</OpenCaseDate>
    <CaseFeeSum>400000.000</CaseFeeSum>
    <DecisionTypeID>2</DecisionTypeID>
    <DecisionSignatureUserName>אביים ברקאי</DecisionSignatureUserName>
    <DecisionSignatureDateHebrew>2023-08-27T20:53:21.8694572+03:00</DecisionSignatureDateHebrew>
    <DecisionWriterID>022147607@GOV.IL</DecisionWriterID>
    <CourtAddress>רח' שוקן 25, תל אביב -יפו 66532</CourtAddress>
    <IsAutoTextInCaseExist>false</IsAutoTextInCaseExist>
    <DecisionSignatureRoleName>שופט</DecisionSignatureRoleName>
    <DecisionSignatureUserTitleName>שופט</DecisionSignatureUserTitleName>
    <CaseName>דרעי נ' כספית</CaseName>
    <DecisionNumberInCase>11</DecisionNumberInCase>
  </dt_Decision>
  <dt_DecisionCase>
    <DecisionID>0</DecisionID>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אבי בן מאיר</FullName>
        <FirstName>אבי</FirstName>
        <LastName>בן מאיר</LastName>
        <PartyPropertyName/>
        <AuthenticationTypeAndNumber>ת"ז 024600942</AuthenticationTypeAndNumber>
        <RepresentatedOrRepresentativesNames/>
        <RepresentatedOrRepresentativesCount>0</RepresentatedOrRepresentativesCount>
        <InvitedBy/>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238387900</CasePartyID>
        <PartyTypeID>3</PartyTypeID>
        <ActivityStatusID>1</ActivityStatusID>
        <LegalEntityID>76098175</LegalEntityID>
        <CaseLegalEntityID>118970405</CaseLegalEntityID>
        <AssistantRoleID>103</AssistantRoleID>
        <AuthenticationTypeID>1</AuthenticationTypeID>
        <AuthenticationTypeName>ת"ז</AuthenticationTypeName>
        <LegalEntityNumber>024600942</LegalEntityNumber>
        <IsMainPartyType>true</IsMainPartyType>
        <CaseDisplayIdentifier>56450-12-21</CaseDisplayIdentifier>
        <CaseTypeID>1</CaseTypeID>
        <CaseTypeName>תיק אזרחי בסדר דין רגיל (ת"א)</CaseTypeName>
        <CaseName>דרעי נ' כספית</CaseName>
        <FullAddress>לילנבלום 44 תל אביב -יפו </FullAddress>
        <EmailAddress>avi@wa-law.co.il</EmailAddress>
        <MotionID>0</MotionID>
        <CasePleaID>0</CasePleaID>
        <FatherName xml:space="preserve">        </FatherName>
        <LinkedCaseID>0</LinkedCaseID>
        <PartyID>1</PartyID>
        <CasePartyCategoryID>2</CasePartyCategoryID>
        <LegalEntityAddressID>79560060</LegalEntityAddressID>
        <LegalEntityEmailAddressID>67933860</LegalEntityEmailAddressID>
        <PleaTypeID>4</PleaTypeID>
        <GroupPartyAlias/>
        <IsConverted>false</IsConverted>
        <LegalEntityNameID>83296240</LegalEntityNameID>
        <RepresentatedNamesOfAssistant/>
        <LegalEntityTypeID>11</LegalEntityTypeID>
        <IsVerdictExists>false</IsVerdictExists>
        <IsAsirAzir>false</IsAsirAzir>
        <IsPublicationProhibited>false</IsPublicationProhibited>
        <PublicationProhibitedFullName>אבי בן מאיר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אילן בומבך</FullName>
        <FirstName>אילן</FirstName>
        <LastName>בומבך</LastName>
        <PartyPropertyName/>
        <AuthenticationTypeAndNumber>מ.ר. 15295</AuthenticationTypeAndNumber>
        <RepresentatedOrRepresentativesNames>אריה מכלוף דרעי</RepresentatedOrRepresentativesNames>
        <RepresentatedOrRepresentativesCount>1</RepresentatedOrRepresentativesCount>
        <InvitedBy/>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235209903</CasePartyID>
        <PartyTypeID>2</PartyTypeID>
        <ActivityStatusID>1</ActivityStatusID>
        <PartyAliasID>20</PartyAliasID>
        <PartyAliasName>בא כוח תובעים</PartyAliasName>
        <OrdinalNumber>1</OrdinalNumber>
        <LegalEntityID>383622</LegalEntityID>
        <CaseLegalEntityID>118019746</CaseLegalEntityID>
        <AuthenticationTypeID>4</AuthenticationTypeID>
        <AuthenticationTypeName>מ.ר.</AuthenticationTypeName>
        <LegalEntityNumber>15295</LegalEntityNumber>
        <IsMainPartyType>true</IsMainPartyType>
        <CaseDisplayIdentifier>56450-12-21</CaseDisplayIdentifier>
        <CaseTypeID>1</CaseTypeID>
        <CaseTypeName>תיק אזרחי בסדר דין רגיל (ת"א)</CaseTypeName>
        <CaseName>דרעי נ' כספית</CaseName>
        <FullAddress>ויצמן 2/א תל אביב -יפו מגדל אירופה -ישראל</FullAddress>
        <EmailAddress>ilan@bombachlaw.co.il</EmailAddress>
        <MotionID>0</MotionID>
        <CasePleaID>0</CasePleaID>
        <FatherName xml:space="preserve">        </FatherName>
        <LinkedCaseID>0</LinkedCaseID>
        <PartyID>1</PartyID>
        <CasePartyCategoryID>2</CasePartyCategoryID>
        <LegalEntityAddressID>2122679</LegalEntityAddressID>
        <LegalEntityEmailAddressID>19819548</LegalEntityEmailAddressID>
        <PleaTypeID>4</PleaTypeID>
        <LawyerOfficeName>משרד עו"ד: אילן בומבך</LawyerOfficeName>
        <LawyerOfficeID>424266</LawyerOfficeID>
        <GroupPartyAlias/>
        <IsConverted>false</IsConverted>
        <LegalEntityNameID>4606</LegalEntityNameID>
        <RepresentatedNamesOfAssistant/>
        <LegalEntityTypeID>4</LegalEntityTypeID>
        <IsVerdictExists>false</IsVerdictExists>
        <IsAsirAzir>false</IsAsirAzir>
        <IsPublicationProhibited>false</IsPublicationProhibited>
        <PublicationProhibitedFullName>אילן בומבך</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אריה מכלוף דרעי</FullName>
        <FirstName>אריה מכלוף</FirstName>
        <LastName>דרעי</LastName>
        <PartyPropertyName/>
        <AuthenticationTypeAndNumber>ת"ז 069577674</AuthenticationTypeAndNumber>
        <RepresentatedOrRepresentativesNames>אילן בומבך</RepresentatedOrRepresentativesNames>
        <RepresentatedOrRepresentativesCount>1</RepresentatedOrRepresentativesCount>
        <InvitedBy/>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235209902</CasePartyID>
        <PartyTypeID>1</PartyTypeID>
        <ActivityStatusID>1</ActivityStatusID>
        <PartyAliasID>1</PartyAliasID>
        <PartyAliasName>תובע</PartyAliasName>
        <OrdinalNumber>1</OrdinalNumber>
        <LegalEntityID>6221886</LegalEntityID>
        <CaseLegalEntityID>118019745</CaseLegalEntityID>
        <AuthenticationTypeID>1</AuthenticationTypeID>
        <AuthenticationTypeName>ת"ז</AuthenticationTypeName>
        <LegalEntityNumber>069577674</LegalEntityNumber>
        <IsMainPartyType>true</IsMainPartyType>
        <CaseDisplayIdentifier>56450-12-21</CaseDisplayIdentifier>
        <CaseTypeID>1</CaseTypeID>
        <CaseTypeName>תיק אזרחי בסדר דין רגיל (ת"א)</CaseTypeName>
        <CaseName>דרעי נ' כספית</CaseName>
        <FullAddress>הקבלן 28/13 ירושלים </FullAddress>
        <MotionID>0</MotionID>
        <CasePleaID>0</CasePleaID>
        <BirthDate>1959-01-01T00:00:00+02:00</BirthDate>
        <FatherName>אלי</FatherName>
        <LinkedCaseID>0</LinkedCaseID>
        <PartyID>1</PartyID>
        <CasePartyCategoryID>2</CasePartyCategoryID>
        <LegalEntityAddressID>85995721</LegalEntityAddressID>
        <PleaTypeID>4</PleaTypeID>
        <GroupPartyAlias>תובעים</GroupPartyAlias>
        <IsConverted>false</IsConverted>
        <LegalEntityRegisteredNameID>2420083</LegalEntityRegisteredNameID>
        <LegalEntityNameID>92439138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אריה מכלוף דרעי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בן כספית</FullName>
        <FirstName>בן</FirstName>
        <LastName>כספית</LastName>
        <PartyPropertyName/>
        <AuthenticationTypeAndNumber>ת"ז </AuthenticationTypeAndNumber>
        <RepresentatedOrRepresentativesNames>יורם מושקט</RepresentatedOrRepresentativesNames>
        <RepresentatedOrRepresentativesCount>1</RepresentatedOrRepresentativesCount>
        <InvitedBy/>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235209904</CasePartyID>
        <PartyTypeID>1</PartyTypeID>
        <ActivityStatusID>1</ActivityStatusID>
        <PartyAliasID>2</PartyAliasID>
        <PartyAliasName>נתבע</PartyAliasName>
        <OrdinalNumber>1</OrdinalNumber>
        <LegalEntityID>80212711</LegalEntityID>
        <CaseLegalEntityID>118019747</CaseLegalEntityID>
        <AuthenticationTypeID>1</AuthenticationTypeID>
        <AuthenticationTypeName>ת"ז</AuthenticationTypeName>
        <IsMainPartyType>true</IsMainPartyType>
        <CaseDisplayIdentifier>56450-12-21</CaseDisplayIdentifier>
        <CaseTypeID>1</CaseTypeID>
        <CaseTypeName>תיק אזרחי בסדר דין רגיל (ת"א)</CaseTypeName>
        <CaseName>דרעי נ' כספית</CaseName>
        <FullAddress>הרדוף 14 הוד השרון </FullAddress>
        <MotionID>0</MotionID>
        <CasePleaID>0</CasePleaID>
        <LinkedCaseID>0</LinkedCaseID>
        <PartyID>2</PartyID>
        <CasePartyCategoryID>2</CasePartyCategoryID>
        <LegalEntityAddressID>85988257</LegalEntityAddressID>
        <PleaTypeID>4</PleaTypeID>
        <GroupPartyAlias>נתבעים</GroupPartyAlias>
        <IsConverted>false</IsConverted>
        <LegalEntityNameID>92439139</LegalEntityNameID>
        <RepresentatedNamesOfAssistant/>
        <LegalEntityTypeID>1</LegalEntityTypeID>
        <IsVerdictExists>false</IsVerdictExists>
        <IsAsirAzir>false</IsAsirAzir>
        <IsPublicationProhibited>false</IsPublicationProhibited>
        <PublicationProhibitedFullName>בן כספית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יורם מושקט</FullName>
        <FirstName>יורם</FirstName>
        <LastName>מושקט</LastName>
        <PartyPropertyName/>
        <AuthenticationTypeAndNumber>מ.ר. 6221</AuthenticationTypeAndNumber>
        <RepresentatedOrRepresentativesNames>בן כספית</RepresentatedOrRepresentativesNames>
        <RepresentatedOrRepresentativesCount>1</RepresentatedOrRepresentativesCount>
        <InvitedBy/>
        <CaseID>78910227</CaseID>
        <CaseJudicialPersonPresentationDS>
          <CaseJudicalPersonActive>
            <CaseID>78910227</CaseID>
            <JudicialPersonID>022147607@GOV.IL</JudicialPersonID>
            <JudicialPersonTypeID>1</JudicialPersonTypeID>
            <JudicialTypeID>1</JudicialTypeID>
            <IsChairman>false</IsChairman>
            <TreatmentStartDate>2022-02-23T15:45:16.34+02:00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235855354</CasePartyID>
        <PartyTypeID>2</PartyTypeID>
        <ActivityStatusID>1</ActivityStatusID>
        <PartyAliasID>21</PartyAliasID>
        <PartyAliasName>בא כוח נתבעים</PartyAliasName>
        <OrdinalNumber>1</OrdinalNumber>
        <LegalEntityID>380443</LegalEntityID>
        <CaseLegalEntityID>118216097</CaseLegalEntityID>
        <AuthenticationTypeID>4</AuthenticationTypeID>
        <AuthenticationTypeName>מ.ר.</AuthenticationTypeName>
        <LegalEntityNumber>6221</LegalEntityNumber>
        <IsMainPartyType>true</IsMainPartyType>
        <CaseDisplayIdentifier>56450-12-21</CaseDisplayIdentifier>
        <CaseTypeID>1</CaseTypeID>
        <CaseTypeName>תיק אזרחי בסדר דין רגיל (ת"א)</CaseTypeName>
        <CaseName>דרעי נ' כספית</CaseName>
        <FullAddress>יהודה הלוי 85 תל אביב -יפו </FullAddress>
        <EmailAddress>yoram@muszkat.co.il</EmailAddress>
        <MotionID>0</MotionID>
        <CasePleaID>0</CasePleaID>
        <LinkedCaseID>0</LinkedCaseID>
        <PartyID>2</PartyID>
        <CasePartyCategoryID>2</CasePartyCategoryID>
        <LegalEntityAddressID>77083153</LegalEntityAddressID>
        <LegalEntityEmailAddressID>67912810</LegalEntityEmailAddressID>
        <PleaTypeID>4</PleaTypeID>
        <LawyerOfficeName>מושקט יורם ושות' - משרד עו"ד</LawyerOfficeName>
        <LawyerOfficeID>419179</LawyerOfficeID>
        <GroupPartyAlias/>
        <IsConverted>false</IsConverted>
        <LegalEntityNameID>1427</LegalEntityNameID>
        <RepresentatedNamesOfAssistant/>
        <LegalEntityTypeID>4</LegalEntityTypeID>
        <IsVerdictExists>false</IsVerdictExists>
        <IsAsirAzir>false</IsAsirAzir>
        <IsPublicationProhibited>false</IsPublicationProhibited>
        <PublicationProhibitedFullName>יורם מושקט</PublicationProhibitedFullName>
      </CaseParties>
    </CasePartiesSelectionDS>
    <CaseName>דרעי נ' כספית</CaseName>
    <CaseDisplayIdentifier>56450-12-21</CaseDisplayIdentifier>
    <CaseInterestID>46</CaseInterestID>
    <CaseTypeShortName>ת"א</CaseTypeShortName>
  </dt_DecisionCase>
  <dt_DecisionJudgePanel>
    <JudgeID>022147607@GOV.IL</JudgeID>
    <DisplayName>אביים ברקאי</DisplayName>
    <RoleName>שופט</RoleName>
    <UserTitleName>שופט</UserTitleName>
  </dt_DecisionJudgePanel>
  <dt_LegalEntityDetails>
    <Fax>03-5601140</Fax>
    <Phone>03-5604731</Phone>
    <AddressDesc/>
    <PartyID>1</PartyID>
    <PartyTypeID>3</PartyTypeID>
    <DecisionID>0</DecisionID>
    <AssistantRoleID>103</AssistantRoleID>
    <StreetName>לילנבלום 44</StreetName>
    <ZipCode>61024</ZipCode>
    <CityName>תל אביב -יפו</CityName>
    <FullName>אבי בן מאיר</FullName>
    <Email>avi@wa-law.co.il</Email>
    <IsPublicationProhibited>false</IsPublicationProhibited>
  </dt_LegalEntityDetails>
  <dt_LegalEntityDetails>
    <PartyID>1</PartyID>
    <PartyTypeID>1</PartyTypeID>
    <DecisionID>0</DecisionID>
    <StreetName>הקבלן 28/13</StreetName>
    <ZipCode>9387428</ZipCode>
    <CityName>ירושלים</CityName>
    <FullName>אריה מכלוף דרעי</FullName>
    <IsPublicationProhibited>false</IsPublicationProhibited>
  </dt_LegalEntityDetails>
  <dt_LegalEntityDetails>
    <Fax>03-6932091</Fax>
    <Phone>03-6932090</Phone>
    <AddressDesc>מגדל אירופה -ישראל</AddressDesc>
    <PartyID>1</PartyID>
    <PartyTypeID>2</PartyTypeID>
    <DecisionID>0</DecisionID>
    <StreetName>ויצמן 2/א</StreetName>
    <ZipCode>64239</ZipCode>
    <CityName>תל אביב -יפו</CityName>
    <FullName>אילן בומבך</FullName>
    <Email>ilan@bombachlaw.co.il</Email>
    <IsPublicationProhibited>false</IsPublicationProhibited>
  </dt_LegalEntityDetails>
  <dt_LegalEntityDetails>
    <PartyID>2</PartyID>
    <PartyTypeID>1</PartyTypeID>
    <DecisionID>0</DecisionID>
    <StreetName>הרדוף 14</StreetName>
    <CityName>הוד השרון</CityName>
    <FullName>בן  כספית</FullName>
    <IsPublicationProhibited>false</IsPublicationProhibited>
  </dt_LegalEntityDetails>
  <dt_LegalEntityDetails>
    <Fax>03-5609882</Fax>
    <Phone>03-5662038</Phone>
    <AddressDesc/>
    <PartyID>2</PartyID>
    <PartyTypeID>2</PartyTypeID>
    <DecisionID>0</DecisionID>
    <StreetName>יהודה הלוי 85</StreetName>
    <ZipCode>65796</ZipCode>
    <CityName>תל אביב -יפו</CityName>
    <FullName>יורם מושקט</FullName>
    <Email>yoram@muszkat.co.il</Email>
    <IsPublicationProhibited>false</IsPublicationProhibited>
  </dt_LegalEntityDetails>
  <dt_CaseJudicalPersonActive>
    <CaseJudicalPerson>שופט אביים ברקאי</CaseJudicalPerson>
  </dt_CaseJudicalPersonActive>
  <dt_Sitting>
    <PreviousMeetingDate>2023-02-16T11:30:00+02:00</PreviousMeetingDate>
    <PreviousSittingTypeID>2</PreviousSittingTypeID>
    <PreviousMeetingDisplayName>שופט אביים ברקאי</PreviousMeetingDisplayName>
    <PreviousMeetingRoleName>שופט</PreviousMeetingRoleName>
    <PreviousMeetingUserTitleName>שופט</PreviousMeetingUserTitleName>
    <PreviousMeetingUserUPN>022147607@GOV.IL</PreviousMeetingUserUPN>
  </dt_Sitting>
</DecisionTemplateDS>
</file>

<file path=customXml/itemProps1.xml><?xml version="1.0" encoding="utf-8"?>
<ds:datastoreItem xmlns:ds="http://schemas.openxmlformats.org/officeDocument/2006/customXml" ds:itemID="{3B60E19A-C98A-4603-B523-ECF749D702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6893</Words>
  <Characters>34466</Characters>
  <Application>Microsoft Office Word</Application>
  <DocSecurity>4</DocSecurity>
  <Lines>287</Lines>
  <Paragraphs>82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cp:lastPrinted>2023-08-27T18:33:00Z</cp:lastPrinted>
  <dcterms:created xsi:type="dcterms:W3CDTF">2023-08-28T11:29:00Z</dcterms:created>
  <dcterms:modified xsi:type="dcterms:W3CDTF">2023-08-28T11:29:00Z</dcterms:modified>
</cp:coreProperties>
</file>